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D388E" w:rsidP="00077BA1" w:rsidRDefault="00CD388E" w14:paraId="6C2DF602" w14:textId="7F171E9D">
      <w:pPr>
        <w:autoSpaceDE w:val="0"/>
        <w:autoSpaceDN w:val="0"/>
        <w:adjustRightInd w:val="0"/>
        <w:ind w:right="560"/>
        <w:jc w:val="center"/>
        <w:rPr>
          <w:rFonts w:cs="Arial"/>
          <w:b/>
          <w:bCs/>
          <w:color w:val="000000" w:themeColor="text1"/>
          <w:sz w:val="32"/>
          <w:szCs w:val="32"/>
          <w:lang w:eastAsia="es-ES"/>
        </w:rPr>
      </w:pPr>
      <w:r>
        <w:rPr>
          <w:rFonts w:cs="Arial"/>
          <w:b/>
          <w:bCs/>
          <w:color w:val="000000" w:themeColor="text1"/>
          <w:sz w:val="32"/>
          <w:szCs w:val="32"/>
          <w:lang w:eastAsia="es-ES"/>
        </w:rPr>
        <w:t>La r</w:t>
      </w:r>
      <w:r w:rsidR="00EF5ED7">
        <w:rPr>
          <w:rFonts w:cs="Arial"/>
          <w:b/>
          <w:bCs/>
          <w:color w:val="000000" w:themeColor="text1"/>
          <w:sz w:val="32"/>
          <w:szCs w:val="32"/>
          <w:lang w:eastAsia="es-ES"/>
        </w:rPr>
        <w:t xml:space="preserve">iqueza </w:t>
      </w:r>
      <w:r w:rsidR="002A3A19">
        <w:rPr>
          <w:rFonts w:cs="Arial"/>
          <w:b/>
          <w:bCs/>
          <w:color w:val="000000" w:themeColor="text1"/>
          <w:sz w:val="32"/>
          <w:szCs w:val="32"/>
          <w:lang w:eastAsia="es-ES"/>
        </w:rPr>
        <w:t xml:space="preserve">de los hogares </w:t>
      </w:r>
      <w:r w:rsidR="0000654A">
        <w:rPr>
          <w:rFonts w:cs="Arial"/>
          <w:b/>
          <w:bCs/>
          <w:color w:val="000000" w:themeColor="text1"/>
          <w:sz w:val="32"/>
          <w:szCs w:val="32"/>
          <w:lang w:eastAsia="es-ES"/>
        </w:rPr>
        <w:t xml:space="preserve">descendió </w:t>
      </w:r>
      <w:r w:rsidR="00EF5ED7">
        <w:rPr>
          <w:rFonts w:cs="Arial"/>
          <w:b/>
          <w:bCs/>
          <w:color w:val="000000" w:themeColor="text1"/>
          <w:sz w:val="32"/>
          <w:szCs w:val="32"/>
          <w:lang w:eastAsia="es-ES"/>
        </w:rPr>
        <w:t xml:space="preserve">un </w:t>
      </w:r>
      <w:r w:rsidRPr="00EF5ED7" w:rsidR="00EF5ED7">
        <w:rPr>
          <w:rFonts w:cs="Arial"/>
          <w:b/>
          <w:bCs/>
          <w:color w:val="000000" w:themeColor="text1"/>
          <w:sz w:val="32"/>
          <w:szCs w:val="32"/>
          <w:lang w:eastAsia="es-ES"/>
        </w:rPr>
        <w:t>2</w:t>
      </w:r>
      <w:r w:rsidR="00FD5519">
        <w:rPr>
          <w:rFonts w:cs="Arial"/>
          <w:b/>
          <w:bCs/>
          <w:color w:val="000000" w:themeColor="text1"/>
          <w:sz w:val="32"/>
          <w:szCs w:val="32"/>
          <w:lang w:eastAsia="es-ES"/>
        </w:rPr>
        <w:t>,</w:t>
      </w:r>
      <w:r w:rsidRPr="00EF5ED7" w:rsidR="00EF5ED7">
        <w:rPr>
          <w:rFonts w:cs="Arial"/>
          <w:b/>
          <w:bCs/>
          <w:color w:val="000000" w:themeColor="text1"/>
          <w:sz w:val="32"/>
          <w:szCs w:val="32"/>
          <w:lang w:eastAsia="es-ES"/>
        </w:rPr>
        <w:t>7%</w:t>
      </w:r>
      <w:r w:rsidR="0000654A">
        <w:rPr>
          <w:rFonts w:cs="Arial"/>
          <w:b/>
          <w:bCs/>
          <w:color w:val="000000" w:themeColor="text1"/>
          <w:sz w:val="32"/>
          <w:szCs w:val="32"/>
          <w:lang w:eastAsia="es-ES"/>
        </w:rPr>
        <w:t xml:space="preserve"> en 2022</w:t>
      </w:r>
      <w:r w:rsidR="00A0106A">
        <w:rPr>
          <w:rFonts w:cs="Arial"/>
          <w:b/>
          <w:bCs/>
          <w:color w:val="000000" w:themeColor="text1"/>
          <w:sz w:val="32"/>
          <w:szCs w:val="32"/>
          <w:lang w:eastAsia="es-ES"/>
        </w:rPr>
        <w:t>, s</w:t>
      </w:r>
      <w:r w:rsidRPr="00A0106A" w:rsidR="00A0106A">
        <w:rPr>
          <w:rFonts w:cs="Arial"/>
          <w:b/>
          <w:bCs/>
          <w:color w:val="000000" w:themeColor="text1"/>
          <w:sz w:val="32"/>
          <w:szCs w:val="32"/>
          <w:lang w:eastAsia="es-ES"/>
        </w:rPr>
        <w:t xml:space="preserve">egún el Allianz Global </w:t>
      </w:r>
      <w:proofErr w:type="spellStart"/>
      <w:r w:rsidRPr="00A0106A" w:rsidR="00A0106A">
        <w:rPr>
          <w:rFonts w:cs="Arial"/>
          <w:b/>
          <w:bCs/>
          <w:color w:val="000000" w:themeColor="text1"/>
          <w:sz w:val="32"/>
          <w:szCs w:val="32"/>
          <w:lang w:eastAsia="es-ES"/>
        </w:rPr>
        <w:t>Wealth</w:t>
      </w:r>
      <w:proofErr w:type="spellEnd"/>
      <w:r w:rsidRPr="00A0106A" w:rsidR="00A0106A">
        <w:rPr>
          <w:rFonts w:cs="Arial"/>
          <w:b/>
          <w:bCs/>
          <w:color w:val="000000" w:themeColor="text1"/>
          <w:sz w:val="32"/>
          <w:szCs w:val="32"/>
          <w:lang w:eastAsia="es-ES"/>
        </w:rPr>
        <w:t xml:space="preserve"> </w:t>
      </w:r>
      <w:proofErr w:type="spellStart"/>
      <w:r w:rsidRPr="00A0106A" w:rsidR="00A0106A">
        <w:rPr>
          <w:rFonts w:cs="Arial"/>
          <w:b/>
          <w:bCs/>
          <w:color w:val="000000" w:themeColor="text1"/>
          <w:sz w:val="32"/>
          <w:szCs w:val="32"/>
          <w:lang w:eastAsia="es-ES"/>
        </w:rPr>
        <w:t>Report</w:t>
      </w:r>
      <w:proofErr w:type="spellEnd"/>
    </w:p>
    <w:p w:rsidR="001170FD" w:rsidP="00FC4500" w:rsidRDefault="001170FD" w14:paraId="3B566D7A" w14:textId="77777777">
      <w:pPr>
        <w:spacing w:after="240" w:line="360" w:lineRule="auto"/>
        <w:ind w:right="425"/>
        <w:rPr>
          <w:rFonts w:cs="Arial"/>
          <w:b/>
          <w:sz w:val="24"/>
          <w:szCs w:val="24"/>
        </w:rPr>
      </w:pPr>
    </w:p>
    <w:p w:rsidRPr="00FC4500" w:rsidR="001170FD" w:rsidP="00FC4500" w:rsidRDefault="00604F17" w14:paraId="7DB2B0F7" w14:textId="5BF54CBA">
      <w:pPr>
        <w:numPr>
          <w:ilvl w:val="0"/>
          <w:numId w:val="1"/>
        </w:numPr>
        <w:spacing w:after="240" w:line="276" w:lineRule="auto"/>
        <w:ind w:right="425"/>
        <w:rPr>
          <w:b/>
          <w:sz w:val="20"/>
          <w:szCs w:val="20"/>
          <w:lang w:val="es-ES_tradnl"/>
        </w:rPr>
      </w:pPr>
      <w:r w:rsidRPr="00FC4500">
        <w:rPr>
          <w:b/>
          <w:lang w:val="es-ES_tradnl"/>
        </w:rPr>
        <w:t>La decimo</w:t>
      </w:r>
      <w:r w:rsidRPr="00FC4500" w:rsidR="009304AF">
        <w:rPr>
          <w:b/>
          <w:lang w:val="es-ES_tradnl"/>
        </w:rPr>
        <w:t>cuarta</w:t>
      </w:r>
      <w:r w:rsidRPr="00FC4500">
        <w:rPr>
          <w:b/>
          <w:lang w:val="es-ES_tradnl"/>
        </w:rPr>
        <w:t xml:space="preserve"> edición del “Global </w:t>
      </w:r>
      <w:proofErr w:type="spellStart"/>
      <w:r w:rsidRPr="00FC4500">
        <w:rPr>
          <w:b/>
          <w:lang w:val="es-ES_tradnl"/>
        </w:rPr>
        <w:t>Wealth</w:t>
      </w:r>
      <w:proofErr w:type="spellEnd"/>
      <w:r w:rsidRPr="00FC4500">
        <w:rPr>
          <w:b/>
          <w:lang w:val="es-ES_tradnl"/>
        </w:rPr>
        <w:t xml:space="preserve"> </w:t>
      </w:r>
      <w:proofErr w:type="spellStart"/>
      <w:r w:rsidRPr="00FC4500">
        <w:rPr>
          <w:b/>
          <w:lang w:val="es-ES_tradnl"/>
        </w:rPr>
        <w:t>Report</w:t>
      </w:r>
      <w:proofErr w:type="spellEnd"/>
      <w:r w:rsidRPr="00FC4500">
        <w:rPr>
          <w:b/>
          <w:lang w:val="es-ES_tradnl"/>
        </w:rPr>
        <w:t xml:space="preserve">” de Allianz </w:t>
      </w:r>
      <w:r w:rsidR="004B68EB">
        <w:rPr>
          <w:b/>
          <w:lang w:val="es-ES_tradnl"/>
        </w:rPr>
        <w:t>concluye</w:t>
      </w:r>
      <w:r w:rsidRPr="00FC4500" w:rsidR="004B68EB">
        <w:rPr>
          <w:b/>
          <w:lang w:val="es-ES_tradnl"/>
        </w:rPr>
        <w:t xml:space="preserve"> </w:t>
      </w:r>
      <w:r w:rsidRPr="00FC4500" w:rsidR="00DE4D03">
        <w:rPr>
          <w:b/>
          <w:lang w:val="es-ES_tradnl"/>
        </w:rPr>
        <w:t xml:space="preserve">que los activos financieros de los hogares </w:t>
      </w:r>
      <w:r w:rsidRPr="00FC4500" w:rsidR="0012238A">
        <w:rPr>
          <w:b/>
          <w:lang w:val="es-ES_tradnl"/>
        </w:rPr>
        <w:t xml:space="preserve">sufrieron </w:t>
      </w:r>
      <w:r w:rsidRPr="00FC4500" w:rsidR="00DE4D03">
        <w:rPr>
          <w:b/>
          <w:lang w:val="es-ES_tradnl"/>
        </w:rPr>
        <w:t>la mayor caída</w:t>
      </w:r>
      <w:r w:rsidRPr="00FC4500" w:rsidR="0012238A">
        <w:rPr>
          <w:b/>
          <w:lang w:val="es-ES_tradnl"/>
        </w:rPr>
        <w:t xml:space="preserve"> a nivel global</w:t>
      </w:r>
      <w:r w:rsidRPr="00FC4500" w:rsidR="00DE4D03">
        <w:rPr>
          <w:b/>
          <w:lang w:val="es-ES_tradnl"/>
        </w:rPr>
        <w:t xml:space="preserve"> desde la crisis financiera </w:t>
      </w:r>
      <w:r w:rsidR="00F73B22">
        <w:rPr>
          <w:b/>
          <w:lang w:val="es-ES_tradnl"/>
        </w:rPr>
        <w:t>de 2008</w:t>
      </w:r>
    </w:p>
    <w:p w:rsidRPr="00FC4500" w:rsidR="00FC4500" w:rsidP="00FC4500" w:rsidRDefault="00FC4500" w14:paraId="193CC25F" w14:textId="3FCADBFA">
      <w:pPr>
        <w:pStyle w:val="Prrafodelista"/>
        <w:numPr>
          <w:ilvl w:val="0"/>
          <w:numId w:val="1"/>
        </w:numPr>
        <w:spacing w:after="240" w:line="276" w:lineRule="auto"/>
        <w:rPr>
          <w:rFonts w:ascii="Arial" w:hAnsi="Arial" w:eastAsia="Times New Roman" w:cs="Times New Roman"/>
          <w:b/>
          <w:lang w:val="es-ES_tradnl" w:eastAsia="de-DE"/>
        </w:rPr>
      </w:pPr>
      <w:r w:rsidRPr="00FC4500">
        <w:rPr>
          <w:rFonts w:ascii="Arial" w:hAnsi="Arial" w:eastAsia="Times New Roman" w:cs="Times New Roman"/>
          <w:b/>
          <w:lang w:val="es-ES_tradnl" w:eastAsia="de-DE"/>
        </w:rPr>
        <w:t xml:space="preserve">Los ahorradores españoles sufrieron pérdidas limitadas (-0,3%) en 2022 y retomaron </w:t>
      </w:r>
      <w:r w:rsidR="004F3345">
        <w:rPr>
          <w:rFonts w:ascii="Arial" w:hAnsi="Arial" w:eastAsia="Times New Roman" w:cs="Times New Roman"/>
          <w:b/>
          <w:lang w:val="es-ES_tradnl" w:eastAsia="de-DE"/>
        </w:rPr>
        <w:t>comportamientos</w:t>
      </w:r>
      <w:r w:rsidRPr="00FC4500">
        <w:rPr>
          <w:rFonts w:ascii="Arial" w:hAnsi="Arial" w:eastAsia="Times New Roman" w:cs="Times New Roman"/>
          <w:b/>
          <w:lang w:val="es-ES_tradnl" w:eastAsia="de-DE"/>
        </w:rPr>
        <w:t xml:space="preserve"> de esfuerzo ahorrador</w:t>
      </w:r>
      <w:r w:rsidR="00E14651">
        <w:rPr>
          <w:rFonts w:ascii="Arial" w:hAnsi="Arial" w:eastAsia="Times New Roman" w:cs="Times New Roman"/>
          <w:b/>
          <w:lang w:val="es-ES_tradnl" w:eastAsia="de-DE"/>
        </w:rPr>
        <w:t xml:space="preserve"> anteriores a la pandemia</w:t>
      </w:r>
    </w:p>
    <w:p w:rsidRPr="00FC4500" w:rsidR="00E27947" w:rsidP="00FC4500" w:rsidRDefault="005E5D09" w14:paraId="4B3BF728" w14:textId="276F6A4B">
      <w:pPr>
        <w:numPr>
          <w:ilvl w:val="0"/>
          <w:numId w:val="1"/>
        </w:numPr>
        <w:spacing w:after="240" w:line="276" w:lineRule="auto"/>
        <w:ind w:right="425"/>
        <w:rPr>
          <w:b/>
          <w:lang w:val="es-ES_tradnl"/>
        </w:rPr>
      </w:pPr>
      <w:r w:rsidRPr="00FC4500">
        <w:rPr>
          <w:b/>
          <w:lang w:val="es-ES_tradnl"/>
        </w:rPr>
        <w:t>El crecimiento medio de los activos financieros rondará probablemente entre el 4% y el 5% en los próximos tres años</w:t>
      </w:r>
    </w:p>
    <w:p w:rsidR="000E0F39" w:rsidP="00484859" w:rsidRDefault="00FA59FE" w14:paraId="6A347F1D" w14:textId="3BE3F0EE">
      <w:pPr>
        <w:spacing w:line="276" w:lineRule="auto"/>
        <w:ind w:right="-1"/>
        <w:jc w:val="both"/>
        <w:rPr>
          <w:rFonts w:cs="Arial"/>
        </w:rPr>
      </w:pPr>
      <w:r w:rsidRPr="473D4EFF">
        <w:rPr>
          <w:rFonts w:cs="Arial"/>
          <w:b/>
          <w:bCs/>
        </w:rPr>
        <w:t xml:space="preserve">Madrid, </w:t>
      </w:r>
      <w:r w:rsidR="004F6C09">
        <w:rPr>
          <w:rFonts w:cs="Arial"/>
          <w:b/>
          <w:bCs/>
        </w:rPr>
        <w:t>26</w:t>
      </w:r>
      <w:r w:rsidRPr="473D4EFF" w:rsidR="00916CAD">
        <w:rPr>
          <w:rFonts w:cs="Arial"/>
          <w:b/>
          <w:bCs/>
        </w:rPr>
        <w:t xml:space="preserve"> </w:t>
      </w:r>
      <w:r w:rsidRPr="473D4EFF">
        <w:rPr>
          <w:rFonts w:cs="Arial"/>
          <w:b/>
          <w:bCs/>
        </w:rPr>
        <w:t xml:space="preserve">de </w:t>
      </w:r>
      <w:r w:rsidR="004F6C09">
        <w:rPr>
          <w:rFonts w:cs="Arial"/>
          <w:b/>
          <w:bCs/>
        </w:rPr>
        <w:t>septiembre</w:t>
      </w:r>
      <w:r w:rsidRPr="473D4EFF" w:rsidR="00AF555D">
        <w:rPr>
          <w:rFonts w:cs="Arial"/>
          <w:b/>
          <w:bCs/>
        </w:rPr>
        <w:t xml:space="preserve"> </w:t>
      </w:r>
      <w:r w:rsidRPr="473D4EFF">
        <w:rPr>
          <w:rFonts w:cs="Arial"/>
          <w:b/>
          <w:bCs/>
        </w:rPr>
        <w:t>de 202</w:t>
      </w:r>
      <w:r w:rsidRPr="473D4EFF" w:rsidR="005573D4">
        <w:rPr>
          <w:rFonts w:cs="Arial"/>
          <w:b/>
          <w:bCs/>
        </w:rPr>
        <w:t>3</w:t>
      </w:r>
      <w:r w:rsidRPr="473D4EFF" w:rsidR="001170FD">
        <w:rPr>
          <w:rFonts w:cs="Arial"/>
          <w:b/>
          <w:bCs/>
        </w:rPr>
        <w:t>-.</w:t>
      </w:r>
      <w:r w:rsidRPr="473D4EFF" w:rsidR="00BC5C93">
        <w:rPr>
          <w:rFonts w:cs="Arial"/>
          <w:b/>
          <w:bCs/>
        </w:rPr>
        <w:t xml:space="preserve"> </w:t>
      </w:r>
      <w:r w:rsidRPr="00484859" w:rsidR="00484859">
        <w:rPr>
          <w:rFonts w:cs="Arial"/>
        </w:rPr>
        <w:t>La 1</w:t>
      </w:r>
      <w:r w:rsidR="00484859">
        <w:rPr>
          <w:rFonts w:cs="Arial"/>
        </w:rPr>
        <w:t>4.</w:t>
      </w:r>
      <w:r w:rsidRPr="00484859" w:rsidR="00484859">
        <w:rPr>
          <w:rFonts w:cs="Arial"/>
        </w:rPr>
        <w:t xml:space="preserve">ª edición del “Allianz Global </w:t>
      </w:r>
      <w:proofErr w:type="spellStart"/>
      <w:r w:rsidRPr="00484859" w:rsidR="00484859">
        <w:rPr>
          <w:rFonts w:cs="Arial"/>
        </w:rPr>
        <w:t>Wealth</w:t>
      </w:r>
      <w:proofErr w:type="spellEnd"/>
      <w:r w:rsidRPr="00484859" w:rsidR="00484859">
        <w:rPr>
          <w:rFonts w:cs="Arial"/>
        </w:rPr>
        <w:t xml:space="preserve"> </w:t>
      </w:r>
      <w:proofErr w:type="spellStart"/>
      <w:r w:rsidRPr="00484859" w:rsidR="00484859">
        <w:rPr>
          <w:rFonts w:cs="Arial"/>
        </w:rPr>
        <w:t>Report</w:t>
      </w:r>
      <w:proofErr w:type="spellEnd"/>
      <w:r w:rsidR="009C2B22">
        <w:rPr>
          <w:rFonts w:cs="Arial"/>
        </w:rPr>
        <w:t xml:space="preserve">”, </w:t>
      </w:r>
      <w:r w:rsidRPr="00AC068A" w:rsidR="00AC068A">
        <w:rPr>
          <w:rFonts w:cs="Arial"/>
        </w:rPr>
        <w:t xml:space="preserve">que analiza la situación de </w:t>
      </w:r>
      <w:r w:rsidR="00D6145B">
        <w:rPr>
          <w:rFonts w:cs="Arial"/>
        </w:rPr>
        <w:t xml:space="preserve">los </w:t>
      </w:r>
      <w:r w:rsidRPr="00AC068A" w:rsidR="00AC068A">
        <w:rPr>
          <w:rFonts w:cs="Arial"/>
        </w:rPr>
        <w:t>activos y</w:t>
      </w:r>
      <w:r w:rsidR="00D6145B">
        <w:rPr>
          <w:rFonts w:cs="Arial"/>
        </w:rPr>
        <w:t xml:space="preserve"> la</w:t>
      </w:r>
      <w:r w:rsidRPr="00AC068A" w:rsidR="00AC068A">
        <w:rPr>
          <w:rFonts w:cs="Arial"/>
        </w:rPr>
        <w:t xml:space="preserve"> deuda de los hogares en casi 60 países</w:t>
      </w:r>
      <w:r w:rsidR="00AC068A">
        <w:rPr>
          <w:rFonts w:cs="Arial"/>
        </w:rPr>
        <w:t xml:space="preserve">, </w:t>
      </w:r>
      <w:r w:rsidR="00D9202E">
        <w:rPr>
          <w:rFonts w:cs="Arial"/>
        </w:rPr>
        <w:t xml:space="preserve">ha concluido que el año 2022 ha </w:t>
      </w:r>
      <w:r w:rsidRPr="002D3DFD" w:rsidR="00D9202E">
        <w:rPr>
          <w:rFonts w:cs="Arial"/>
        </w:rPr>
        <w:t xml:space="preserve">sido </w:t>
      </w:r>
      <w:r w:rsidRPr="002D3DFD" w:rsidR="00892AA1">
        <w:rPr>
          <w:rFonts w:cs="Arial"/>
        </w:rPr>
        <w:t>desalentador</w:t>
      </w:r>
      <w:r w:rsidR="00D9202E">
        <w:rPr>
          <w:rFonts w:cs="Arial"/>
        </w:rPr>
        <w:t xml:space="preserve"> para los ahorradores, con </w:t>
      </w:r>
      <w:r w:rsidR="00892AA1">
        <w:rPr>
          <w:rFonts w:cs="Arial"/>
        </w:rPr>
        <w:t xml:space="preserve">un </w:t>
      </w:r>
      <w:r w:rsidRPr="00892AA1" w:rsidR="00892AA1">
        <w:rPr>
          <w:rFonts w:cs="Arial"/>
        </w:rPr>
        <w:t xml:space="preserve">descenso del -2,7% </w:t>
      </w:r>
      <w:r w:rsidR="00EE4101">
        <w:rPr>
          <w:rFonts w:cs="Arial"/>
        </w:rPr>
        <w:t>del valor de</w:t>
      </w:r>
      <w:r w:rsidRPr="00892AA1" w:rsidR="00892AA1">
        <w:rPr>
          <w:rFonts w:cs="Arial"/>
        </w:rPr>
        <w:t xml:space="preserve"> los activos financieros globales de los hogares, la mayor caída desde la crisis financiera mundial de 2008.</w:t>
      </w:r>
      <w:r w:rsidR="000E0F39">
        <w:rPr>
          <w:rFonts w:cs="Arial"/>
        </w:rPr>
        <w:t xml:space="preserve"> </w:t>
      </w:r>
    </w:p>
    <w:p w:rsidR="000E0F39" w:rsidP="00484859" w:rsidRDefault="000E0F39" w14:paraId="6687159A" w14:textId="77777777">
      <w:pPr>
        <w:spacing w:line="276" w:lineRule="auto"/>
        <w:ind w:right="-1"/>
        <w:jc w:val="both"/>
        <w:rPr>
          <w:rFonts w:cs="Arial"/>
        </w:rPr>
      </w:pPr>
    </w:p>
    <w:p w:rsidR="00364DF3" w:rsidP="00BD32D0" w:rsidRDefault="000E0F39" w14:paraId="54DB7507" w14:textId="557FA94B">
      <w:pPr>
        <w:spacing w:line="276" w:lineRule="auto"/>
        <w:ind w:right="-1"/>
        <w:jc w:val="both"/>
        <w:rPr>
          <w:rFonts w:cs="Arial"/>
        </w:rPr>
      </w:pPr>
      <w:r>
        <w:rPr>
          <w:rFonts w:cs="Arial"/>
        </w:rPr>
        <w:t>L</w:t>
      </w:r>
      <w:r w:rsidRPr="000E0F39">
        <w:rPr>
          <w:rFonts w:cs="Arial"/>
        </w:rPr>
        <w:t xml:space="preserve">as tasas de crecimiento de las tres principales clases de activos difirieron notablemente. </w:t>
      </w:r>
      <w:r w:rsidR="002D3DFD">
        <w:rPr>
          <w:rFonts w:cs="Arial"/>
        </w:rPr>
        <w:t xml:space="preserve">Únicamente los depósitos bancarios mostraron un sólido crecimiento mientras que </w:t>
      </w:r>
      <w:r w:rsidRPr="000E0F39">
        <w:rPr>
          <w:rFonts w:cs="Arial"/>
        </w:rPr>
        <w:t xml:space="preserve">los valores (-7,3%) </w:t>
      </w:r>
      <w:r w:rsidR="0082537F">
        <w:rPr>
          <w:rFonts w:cs="Arial"/>
        </w:rPr>
        <w:t>así como</w:t>
      </w:r>
      <w:r w:rsidRPr="000E0F39">
        <w:rPr>
          <w:rFonts w:cs="Arial"/>
        </w:rPr>
        <w:t xml:space="preserve"> los seguros</w:t>
      </w:r>
      <w:r w:rsidR="00C917B8">
        <w:rPr>
          <w:rFonts w:cs="Arial"/>
        </w:rPr>
        <w:t xml:space="preserve"> y </w:t>
      </w:r>
      <w:r w:rsidRPr="000E0F39">
        <w:rPr>
          <w:rFonts w:cs="Arial"/>
        </w:rPr>
        <w:t xml:space="preserve">pensiones (-4,6%) experimentaron </w:t>
      </w:r>
      <w:r w:rsidR="002D3DFD">
        <w:rPr>
          <w:rFonts w:cs="Arial"/>
        </w:rPr>
        <w:t>importantes</w:t>
      </w:r>
      <w:r w:rsidRPr="000E0F39">
        <w:rPr>
          <w:rFonts w:cs="Arial"/>
        </w:rPr>
        <w:t xml:space="preserve"> retrocesos. En conjunto, </w:t>
      </w:r>
      <w:r w:rsidR="00864D48">
        <w:rPr>
          <w:rFonts w:cs="Arial"/>
        </w:rPr>
        <w:t>a</w:t>
      </w:r>
      <w:r w:rsidR="0092026B">
        <w:rPr>
          <w:rFonts w:cs="Arial"/>
        </w:rPr>
        <w:t xml:space="preserve"> nivel global</w:t>
      </w:r>
      <w:r w:rsidR="00AC6FDE">
        <w:rPr>
          <w:rFonts w:cs="Arial"/>
        </w:rPr>
        <w:t>,</w:t>
      </w:r>
      <w:r w:rsidR="0092026B">
        <w:rPr>
          <w:rFonts w:cs="Arial"/>
        </w:rPr>
        <w:t xml:space="preserve"> </w:t>
      </w:r>
      <w:r w:rsidRPr="000E0F39">
        <w:rPr>
          <w:rFonts w:cs="Arial"/>
        </w:rPr>
        <w:t xml:space="preserve">se perdieron activos financieros por valor de 6,6 billones de euros, </w:t>
      </w:r>
      <w:r w:rsidR="001E2DAF">
        <w:rPr>
          <w:rFonts w:cs="Arial"/>
        </w:rPr>
        <w:t>con lo que</w:t>
      </w:r>
      <w:r w:rsidRPr="000E0F39">
        <w:rPr>
          <w:rFonts w:cs="Arial"/>
        </w:rPr>
        <w:t xml:space="preserve"> el </w:t>
      </w:r>
      <w:r w:rsidR="00E40BF3">
        <w:rPr>
          <w:rFonts w:cs="Arial"/>
        </w:rPr>
        <w:t xml:space="preserve">valor </w:t>
      </w:r>
      <w:r w:rsidRPr="000E0F39">
        <w:rPr>
          <w:rFonts w:cs="Arial"/>
        </w:rPr>
        <w:t>total de</w:t>
      </w:r>
      <w:r w:rsidR="00E40BF3">
        <w:rPr>
          <w:rFonts w:cs="Arial"/>
        </w:rPr>
        <w:t xml:space="preserve"> los</w:t>
      </w:r>
      <w:r w:rsidRPr="000E0F39">
        <w:rPr>
          <w:rFonts w:cs="Arial"/>
        </w:rPr>
        <w:t xml:space="preserve"> activos financieros </w:t>
      </w:r>
      <w:r w:rsidR="00E40BF3">
        <w:rPr>
          <w:rFonts w:cs="Arial"/>
        </w:rPr>
        <w:t xml:space="preserve">se situaría en los </w:t>
      </w:r>
      <w:r w:rsidRPr="00502B3A">
        <w:rPr>
          <w:rFonts w:cs="Arial"/>
          <w:b/>
          <w:bCs/>
        </w:rPr>
        <w:t>233 billones de euros a finales de 2022.</w:t>
      </w:r>
    </w:p>
    <w:p w:rsidR="00B95DDC" w:rsidP="00BD32D0" w:rsidRDefault="00B95DDC" w14:paraId="5E21ED92" w14:textId="77777777">
      <w:pPr>
        <w:spacing w:line="276" w:lineRule="auto"/>
        <w:ind w:right="-1"/>
        <w:jc w:val="both"/>
        <w:rPr>
          <w:rFonts w:cs="Arial"/>
        </w:rPr>
      </w:pPr>
    </w:p>
    <w:p w:rsidRPr="00D77130" w:rsidR="00B95DDC" w:rsidP="00BD32D0" w:rsidRDefault="002D3DFD" w14:paraId="6A8D7C29" w14:textId="53D74C9C">
      <w:pPr>
        <w:spacing w:line="276" w:lineRule="auto"/>
        <w:ind w:right="-1"/>
        <w:jc w:val="both"/>
        <w:rPr>
          <w:rFonts w:cs="Arial"/>
          <w:b/>
          <w:bCs/>
        </w:rPr>
      </w:pPr>
      <w:r>
        <w:rPr>
          <w:rFonts w:cs="Arial"/>
          <w:b/>
          <w:bCs/>
        </w:rPr>
        <w:t>Los hogares españoles</w:t>
      </w:r>
      <w:r w:rsidR="004B68EB">
        <w:rPr>
          <w:rFonts w:cs="Arial"/>
          <w:b/>
          <w:bCs/>
        </w:rPr>
        <w:t>,</w:t>
      </w:r>
      <w:r>
        <w:rPr>
          <w:rFonts w:cs="Arial"/>
          <w:b/>
          <w:bCs/>
        </w:rPr>
        <w:t xml:space="preserve"> menos afectados</w:t>
      </w:r>
    </w:p>
    <w:p w:rsidR="00B95DDC" w:rsidP="00BD32D0" w:rsidRDefault="00B95DDC" w14:paraId="43E08311" w14:textId="77777777">
      <w:pPr>
        <w:spacing w:line="276" w:lineRule="auto"/>
        <w:ind w:right="-1"/>
        <w:jc w:val="both"/>
        <w:rPr>
          <w:rFonts w:cs="Arial"/>
        </w:rPr>
      </w:pPr>
    </w:p>
    <w:p w:rsidRPr="00F25944" w:rsidR="00F25944" w:rsidP="00556390" w:rsidRDefault="00D77130" w14:paraId="272DE2A9" w14:textId="7B1DB41C">
      <w:pPr>
        <w:spacing w:line="276" w:lineRule="auto"/>
        <w:ind w:right="-1"/>
        <w:jc w:val="both"/>
        <w:rPr>
          <w:rFonts w:cs="Arial"/>
        </w:rPr>
      </w:pPr>
      <w:r>
        <w:rPr>
          <w:rFonts w:cs="Arial"/>
        </w:rPr>
        <w:t>En el caso de los hogares españoles</w:t>
      </w:r>
      <w:r w:rsidR="00996AFE">
        <w:rPr>
          <w:rFonts w:cs="Arial"/>
        </w:rPr>
        <w:t>,</w:t>
      </w:r>
      <w:r w:rsidR="009470D7">
        <w:rPr>
          <w:rFonts w:cs="Arial"/>
        </w:rPr>
        <w:t xml:space="preserve"> la situación </w:t>
      </w:r>
      <w:r w:rsidR="00BB65F7">
        <w:rPr>
          <w:rFonts w:cs="Arial"/>
        </w:rPr>
        <w:t xml:space="preserve">económica del país </w:t>
      </w:r>
      <w:r w:rsidR="009470D7">
        <w:rPr>
          <w:rFonts w:cs="Arial"/>
        </w:rPr>
        <w:t xml:space="preserve">ha permitido contener el descenso, que </w:t>
      </w:r>
      <w:r w:rsidR="007614AB">
        <w:rPr>
          <w:rFonts w:cs="Arial"/>
        </w:rPr>
        <w:t xml:space="preserve">se ha situado en el -0.3%, </w:t>
      </w:r>
      <w:r w:rsidR="002D3DFD">
        <w:rPr>
          <w:rFonts w:cs="Arial"/>
        </w:rPr>
        <w:t xml:space="preserve">frente al </w:t>
      </w:r>
      <w:r w:rsidR="007614AB">
        <w:rPr>
          <w:rFonts w:cs="Arial"/>
        </w:rPr>
        <w:t>-4.6% del conjunto de la eurozona.</w:t>
      </w:r>
      <w:r w:rsidR="00F4134B">
        <w:rPr>
          <w:rFonts w:cs="Arial"/>
        </w:rPr>
        <w:t xml:space="preserve"> Los seguros y pensiones fueron la clase de activos que acusó mayor pérdida, con </w:t>
      </w:r>
      <w:r w:rsidRPr="00F25944" w:rsidR="00F25944">
        <w:rPr>
          <w:rFonts w:cs="Arial"/>
        </w:rPr>
        <w:t xml:space="preserve">un -13,7%; también </w:t>
      </w:r>
      <w:r w:rsidRPr="00F25944" w:rsidR="007E4AFA">
        <w:rPr>
          <w:rFonts w:cs="Arial"/>
        </w:rPr>
        <w:t>el</w:t>
      </w:r>
      <w:r w:rsidR="007E4AFA">
        <w:rPr>
          <w:rFonts w:cs="Arial"/>
        </w:rPr>
        <w:t xml:space="preserve"> mercado de valores</w:t>
      </w:r>
      <w:r w:rsidRPr="00F25944" w:rsidR="00F25944">
        <w:rPr>
          <w:rFonts w:cs="Arial"/>
        </w:rPr>
        <w:t xml:space="preserve"> sufri</w:t>
      </w:r>
      <w:r w:rsidR="007E4AFA">
        <w:rPr>
          <w:rFonts w:cs="Arial"/>
        </w:rPr>
        <w:t>ó</w:t>
      </w:r>
      <w:r w:rsidRPr="00F25944" w:rsidR="00F25944">
        <w:rPr>
          <w:rFonts w:cs="Arial"/>
        </w:rPr>
        <w:t xml:space="preserve"> un pequeño retroceso (-0,5%). Los depósitos bancarios, por su parte, </w:t>
      </w:r>
      <w:r w:rsidR="001329F6">
        <w:rPr>
          <w:rFonts w:cs="Arial"/>
        </w:rPr>
        <w:t>experimentaron un</w:t>
      </w:r>
      <w:r w:rsidRPr="00F25944" w:rsidR="00F25944">
        <w:rPr>
          <w:rFonts w:cs="Arial"/>
        </w:rPr>
        <w:t xml:space="preserve"> creci</w:t>
      </w:r>
      <w:r w:rsidR="001329F6">
        <w:rPr>
          <w:rFonts w:cs="Arial"/>
        </w:rPr>
        <w:t>miento del</w:t>
      </w:r>
      <w:r w:rsidRPr="00F25944" w:rsidR="00F25944">
        <w:rPr>
          <w:rFonts w:cs="Arial"/>
        </w:rPr>
        <w:t xml:space="preserve"> 4,1%, </w:t>
      </w:r>
      <w:r w:rsidR="001329F6">
        <w:rPr>
          <w:rFonts w:cs="Arial"/>
        </w:rPr>
        <w:t xml:space="preserve">solo </w:t>
      </w:r>
      <w:r w:rsidRPr="00F25944" w:rsidR="00F25944">
        <w:rPr>
          <w:rFonts w:cs="Arial"/>
        </w:rPr>
        <w:t xml:space="preserve">ligeramente </w:t>
      </w:r>
      <w:r w:rsidR="001329F6">
        <w:rPr>
          <w:rFonts w:cs="Arial"/>
        </w:rPr>
        <w:t>inferior a</w:t>
      </w:r>
      <w:r w:rsidRPr="00F25944" w:rsidR="00F25944">
        <w:rPr>
          <w:rFonts w:cs="Arial"/>
        </w:rPr>
        <w:t>l aumento del año anterior (4,4%).</w:t>
      </w:r>
    </w:p>
    <w:p w:rsidRPr="00F25944" w:rsidR="00F25944" w:rsidP="00F25944" w:rsidRDefault="00F25944" w14:paraId="265D418A" w14:textId="77777777">
      <w:pPr>
        <w:tabs>
          <w:tab w:val="left" w:pos="567"/>
          <w:tab w:val="left" w:pos="8505"/>
        </w:tabs>
        <w:spacing w:line="276" w:lineRule="auto"/>
        <w:ind w:right="-1"/>
        <w:jc w:val="both"/>
        <w:rPr>
          <w:rFonts w:cs="Arial"/>
        </w:rPr>
      </w:pPr>
    </w:p>
    <w:p w:rsidRPr="00F25944" w:rsidR="00F25944" w:rsidP="00F25944" w:rsidRDefault="00F25944" w14:paraId="62A8244C" w14:textId="01F49706">
      <w:pPr>
        <w:tabs>
          <w:tab w:val="left" w:pos="567"/>
          <w:tab w:val="left" w:pos="8505"/>
        </w:tabs>
        <w:spacing w:line="276" w:lineRule="auto"/>
        <w:ind w:right="-1"/>
        <w:jc w:val="both"/>
        <w:rPr>
          <w:rFonts w:cs="Arial"/>
        </w:rPr>
      </w:pPr>
      <w:r w:rsidRPr="00F25944">
        <w:rPr>
          <w:rFonts w:cs="Arial"/>
        </w:rPr>
        <w:t>A diferencia de las demás grandes economías de la zona euro,</w:t>
      </w:r>
      <w:r w:rsidRPr="002D3DFD" w:rsidR="002D3DFD">
        <w:rPr>
          <w:rFonts w:cs="Arial"/>
        </w:rPr>
        <w:t xml:space="preserve"> </w:t>
      </w:r>
      <w:r w:rsidRPr="00F25944" w:rsidR="002D3DFD">
        <w:rPr>
          <w:rFonts w:cs="Arial"/>
        </w:rPr>
        <w:t>en España</w:t>
      </w:r>
      <w:r w:rsidRPr="00F25944">
        <w:rPr>
          <w:rFonts w:cs="Arial"/>
        </w:rPr>
        <w:t xml:space="preserve"> el idilio con los mercados de capitales durante la pandemia </w:t>
      </w:r>
      <w:r w:rsidR="002D3DFD">
        <w:rPr>
          <w:rFonts w:cs="Arial"/>
        </w:rPr>
        <w:t>resultó</w:t>
      </w:r>
      <w:r w:rsidRPr="00F25944" w:rsidR="002D3DFD">
        <w:rPr>
          <w:rFonts w:cs="Arial"/>
        </w:rPr>
        <w:t xml:space="preserve"> </w:t>
      </w:r>
      <w:r w:rsidRPr="00F25944">
        <w:rPr>
          <w:rFonts w:cs="Arial"/>
        </w:rPr>
        <w:t xml:space="preserve">más bien efímero: en 2022, los </w:t>
      </w:r>
      <w:r w:rsidRPr="00F25944">
        <w:rPr>
          <w:rFonts w:cs="Arial"/>
        </w:rPr>
        <w:lastRenderedPageBreak/>
        <w:t>ahorradores</w:t>
      </w:r>
      <w:r w:rsidR="00CF67E6">
        <w:rPr>
          <w:rFonts w:cs="Arial"/>
        </w:rPr>
        <w:t xml:space="preserve"> españoles </w:t>
      </w:r>
      <w:r w:rsidR="006672FE">
        <w:rPr>
          <w:rFonts w:cs="Arial"/>
        </w:rPr>
        <w:t>vendieron</w:t>
      </w:r>
      <w:r w:rsidR="00CF67E6">
        <w:rPr>
          <w:rFonts w:cs="Arial"/>
        </w:rPr>
        <w:t xml:space="preserve"> sus</w:t>
      </w:r>
      <w:r w:rsidR="00084353">
        <w:rPr>
          <w:rFonts w:cs="Arial"/>
        </w:rPr>
        <w:t xml:space="preserve"> títulos (así como sus </w:t>
      </w:r>
      <w:r w:rsidR="007658C5">
        <w:rPr>
          <w:rFonts w:cs="Arial"/>
        </w:rPr>
        <w:t xml:space="preserve">activos de </w:t>
      </w:r>
      <w:r w:rsidRPr="00084353" w:rsidR="00084353">
        <w:rPr>
          <w:rFonts w:cs="Arial"/>
        </w:rPr>
        <w:t>seguros</w:t>
      </w:r>
      <w:r w:rsidR="00084353">
        <w:rPr>
          <w:rFonts w:cs="Arial"/>
        </w:rPr>
        <w:t xml:space="preserve"> y </w:t>
      </w:r>
      <w:r w:rsidRPr="00084353" w:rsidR="00084353">
        <w:rPr>
          <w:rFonts w:cs="Arial"/>
        </w:rPr>
        <w:t>pensiones</w:t>
      </w:r>
      <w:r w:rsidR="00084353">
        <w:rPr>
          <w:rFonts w:cs="Arial"/>
        </w:rPr>
        <w:t xml:space="preserve">), tras </w:t>
      </w:r>
      <w:r w:rsidRPr="00C2586B" w:rsidR="00C2586B">
        <w:rPr>
          <w:rFonts w:cs="Arial"/>
        </w:rPr>
        <w:t xml:space="preserve">haber </w:t>
      </w:r>
      <w:r w:rsidR="00C2586B">
        <w:rPr>
          <w:rFonts w:cs="Arial"/>
        </w:rPr>
        <w:t>adquirido</w:t>
      </w:r>
      <w:r w:rsidR="007866C8">
        <w:rPr>
          <w:rFonts w:cs="Arial"/>
        </w:rPr>
        <w:t xml:space="preserve"> </w:t>
      </w:r>
      <w:r w:rsidRPr="00C2586B" w:rsidR="00C2586B">
        <w:rPr>
          <w:rFonts w:cs="Arial"/>
        </w:rPr>
        <w:t>más de 70.000 millones de euros en los dos años anteriores.</w:t>
      </w:r>
      <w:r w:rsidR="00E65F5F">
        <w:rPr>
          <w:rFonts w:cs="Arial"/>
        </w:rPr>
        <w:t xml:space="preserve"> </w:t>
      </w:r>
      <w:r w:rsidRPr="00F25944">
        <w:rPr>
          <w:rFonts w:cs="Arial"/>
        </w:rPr>
        <w:t xml:space="preserve">En su lugar, los nuevos ahorros -que cayeron casi a la mitad, hasta </w:t>
      </w:r>
      <w:r w:rsidR="00EA64D8">
        <w:rPr>
          <w:rFonts w:cs="Arial"/>
        </w:rPr>
        <w:t xml:space="preserve">los </w:t>
      </w:r>
      <w:r w:rsidRPr="00F25944">
        <w:rPr>
          <w:rFonts w:cs="Arial"/>
        </w:rPr>
        <w:t xml:space="preserve">40.800 millones de euros- </w:t>
      </w:r>
      <w:r w:rsidR="002D3DFD">
        <w:rPr>
          <w:rFonts w:cs="Arial"/>
        </w:rPr>
        <w:t>fueron canalizados</w:t>
      </w:r>
      <w:r w:rsidRPr="00F25944">
        <w:rPr>
          <w:rFonts w:cs="Arial"/>
        </w:rPr>
        <w:t xml:space="preserve"> hacia depósitos bancarios. </w:t>
      </w:r>
    </w:p>
    <w:p w:rsidRPr="00F25944" w:rsidR="00F25944" w:rsidP="00F25944" w:rsidRDefault="00F25944" w14:paraId="6785574A" w14:textId="77777777">
      <w:pPr>
        <w:tabs>
          <w:tab w:val="left" w:pos="567"/>
          <w:tab w:val="left" w:pos="8505"/>
        </w:tabs>
        <w:spacing w:line="276" w:lineRule="auto"/>
        <w:ind w:right="-1"/>
        <w:jc w:val="both"/>
        <w:rPr>
          <w:rFonts w:cs="Arial"/>
        </w:rPr>
      </w:pPr>
    </w:p>
    <w:p w:rsidRPr="00F25944" w:rsidR="00F25944" w:rsidP="00F25944" w:rsidRDefault="00F25944" w14:paraId="0172B05E" w14:textId="5741E7B4">
      <w:pPr>
        <w:tabs>
          <w:tab w:val="left" w:pos="567"/>
          <w:tab w:val="left" w:pos="8505"/>
        </w:tabs>
        <w:spacing w:line="276" w:lineRule="auto"/>
        <w:ind w:right="-1"/>
        <w:jc w:val="both"/>
        <w:rPr>
          <w:rFonts w:cs="Arial"/>
        </w:rPr>
      </w:pPr>
      <w:r w:rsidRPr="00F25944">
        <w:rPr>
          <w:rFonts w:cs="Arial"/>
        </w:rPr>
        <w:t xml:space="preserve">En comparación con el año anterior a la pandemia </w:t>
      </w:r>
      <w:r w:rsidR="004B68EB">
        <w:rPr>
          <w:rFonts w:cs="Arial"/>
        </w:rPr>
        <w:t>-</w:t>
      </w:r>
      <w:r w:rsidRPr="00F25944">
        <w:rPr>
          <w:rFonts w:cs="Arial"/>
        </w:rPr>
        <w:t>2019</w:t>
      </w:r>
      <w:r w:rsidR="004B68EB">
        <w:rPr>
          <w:rFonts w:cs="Arial"/>
        </w:rPr>
        <w:t>-</w:t>
      </w:r>
      <w:r w:rsidRPr="00F25944">
        <w:rPr>
          <w:rFonts w:cs="Arial"/>
        </w:rPr>
        <w:t xml:space="preserve"> los activos financieros </w:t>
      </w:r>
      <w:r w:rsidR="00032264">
        <w:rPr>
          <w:rFonts w:cs="Arial"/>
        </w:rPr>
        <w:t>se mantuvieron</w:t>
      </w:r>
      <w:r w:rsidRPr="00F25944">
        <w:rPr>
          <w:rFonts w:cs="Arial"/>
        </w:rPr>
        <w:t xml:space="preserve"> un 11,2% más altos, pero solo en términos nominales. </w:t>
      </w:r>
      <w:r w:rsidR="002D3DFD">
        <w:rPr>
          <w:rFonts w:cs="Arial"/>
        </w:rPr>
        <w:t>L</w:t>
      </w:r>
      <w:r w:rsidRPr="00F25944">
        <w:rPr>
          <w:rFonts w:cs="Arial"/>
        </w:rPr>
        <w:t>os ahorradores españoles no han obtenido gana</w:t>
      </w:r>
      <w:r w:rsidR="00000342">
        <w:rPr>
          <w:rFonts w:cs="Arial"/>
        </w:rPr>
        <w:t>n</w:t>
      </w:r>
      <w:r w:rsidRPr="00F25944">
        <w:rPr>
          <w:rFonts w:cs="Arial"/>
        </w:rPr>
        <w:t>cias desde la pandemi</w:t>
      </w:r>
      <w:r w:rsidR="00881128">
        <w:rPr>
          <w:rFonts w:cs="Arial"/>
        </w:rPr>
        <w:t>a</w:t>
      </w:r>
      <w:r w:rsidRPr="00F25944">
        <w:rPr>
          <w:rFonts w:cs="Arial"/>
        </w:rPr>
        <w:t xml:space="preserve">; aun así, a España le </w:t>
      </w:r>
      <w:r w:rsidR="00000342">
        <w:rPr>
          <w:rFonts w:cs="Arial"/>
        </w:rPr>
        <w:t>ha ido</w:t>
      </w:r>
      <w:r w:rsidRPr="00F25944">
        <w:rPr>
          <w:rFonts w:cs="Arial"/>
        </w:rPr>
        <w:t xml:space="preserve"> mejor que a la mayoría de los demás países de la zona euro, que registraron un crecimiento real del -3,1%.</w:t>
      </w:r>
    </w:p>
    <w:p w:rsidRPr="00F25944" w:rsidR="00F25944" w:rsidP="00F25944" w:rsidRDefault="00F25944" w14:paraId="27E4AAA4" w14:textId="77777777">
      <w:pPr>
        <w:tabs>
          <w:tab w:val="left" w:pos="567"/>
          <w:tab w:val="left" w:pos="8505"/>
        </w:tabs>
        <w:spacing w:line="276" w:lineRule="auto"/>
        <w:ind w:right="-1"/>
        <w:jc w:val="both"/>
        <w:rPr>
          <w:rFonts w:cs="Arial"/>
        </w:rPr>
      </w:pPr>
    </w:p>
    <w:p w:rsidR="007B35F8" w:rsidP="00F25944" w:rsidRDefault="00F25944" w14:paraId="62F17919" w14:textId="0065BFBA">
      <w:pPr>
        <w:tabs>
          <w:tab w:val="left" w:pos="567"/>
          <w:tab w:val="left" w:pos="8505"/>
        </w:tabs>
        <w:spacing w:line="276" w:lineRule="auto"/>
        <w:ind w:right="-1"/>
        <w:jc w:val="both"/>
        <w:rPr>
          <w:rFonts w:cs="Arial"/>
        </w:rPr>
      </w:pPr>
      <w:r w:rsidRPr="00F25944">
        <w:rPr>
          <w:rFonts w:cs="Arial"/>
        </w:rPr>
        <w:t xml:space="preserve">También en lo que respecta al pasivo, los hogares españoles volvieron a </w:t>
      </w:r>
      <w:r w:rsidR="007B35F8">
        <w:rPr>
          <w:rFonts w:cs="Arial"/>
        </w:rPr>
        <w:t>comportamientos previos a la pandemia</w:t>
      </w:r>
      <w:r w:rsidRPr="00F25944">
        <w:rPr>
          <w:rFonts w:cs="Arial"/>
        </w:rPr>
        <w:t xml:space="preserve">. El crecimiento del pasivo volvió a ser negativo, con un descenso del -0,6%. El pequeño aumento del 2,0% en 2021 pareció ser un destello: en casi todos los años desde la crisis financiera global, los hogares españoles redujeron sus pasivos; como resultado, ahora son un 42,2% más bajos que en su </w:t>
      </w:r>
      <w:r w:rsidR="000B6B79">
        <w:rPr>
          <w:rFonts w:cs="Arial"/>
        </w:rPr>
        <w:t>cota</w:t>
      </w:r>
      <w:r w:rsidRPr="00F25944">
        <w:rPr>
          <w:rFonts w:cs="Arial"/>
        </w:rPr>
        <w:t xml:space="preserve"> máxim</w:t>
      </w:r>
      <w:r w:rsidR="000B6B79">
        <w:rPr>
          <w:rFonts w:cs="Arial"/>
        </w:rPr>
        <w:t xml:space="preserve">a </w:t>
      </w:r>
      <w:r w:rsidR="0044167E">
        <w:rPr>
          <w:rFonts w:cs="Arial"/>
        </w:rPr>
        <w:t>de</w:t>
      </w:r>
      <w:r w:rsidRPr="00F25944">
        <w:rPr>
          <w:rFonts w:cs="Arial"/>
        </w:rPr>
        <w:t xml:space="preserve"> 2008.</w:t>
      </w:r>
      <w:r w:rsidR="006074F3">
        <w:rPr>
          <w:rFonts w:cs="Arial"/>
        </w:rPr>
        <w:t xml:space="preserve"> </w:t>
      </w:r>
      <w:r w:rsidRPr="00F25944">
        <w:rPr>
          <w:rFonts w:cs="Arial"/>
        </w:rPr>
        <w:t>Finalmente, los activos financieros netos se mantuvieron prácticamente planos (-0,1%), con un valor per cápita de 41.270 euros. Con est</w:t>
      </w:r>
      <w:r w:rsidR="006074F3">
        <w:rPr>
          <w:rFonts w:cs="Arial"/>
        </w:rPr>
        <w:t>e</w:t>
      </w:r>
      <w:r w:rsidRPr="00F25944">
        <w:rPr>
          <w:rFonts w:cs="Arial"/>
        </w:rPr>
        <w:t xml:space="preserve"> dato, España se </w:t>
      </w:r>
      <w:r w:rsidR="00572D76">
        <w:rPr>
          <w:rFonts w:cs="Arial"/>
        </w:rPr>
        <w:t>ha mantenido</w:t>
      </w:r>
      <w:r w:rsidRPr="00F25944">
        <w:rPr>
          <w:rFonts w:cs="Arial"/>
        </w:rPr>
        <w:t xml:space="preserve"> en el puesto 21 de la clasificación de los países más ricos (activos financieros per cápita</w:t>
      </w:r>
      <w:r w:rsidR="00572D76">
        <w:rPr>
          <w:rFonts w:cs="Arial"/>
        </w:rPr>
        <w:t>).</w:t>
      </w:r>
    </w:p>
    <w:p w:rsidR="00353231" w:rsidP="00F25944" w:rsidRDefault="00353231" w14:paraId="46B67C78" w14:textId="77777777">
      <w:pPr>
        <w:tabs>
          <w:tab w:val="left" w:pos="567"/>
          <w:tab w:val="left" w:pos="8505"/>
        </w:tabs>
        <w:spacing w:line="276" w:lineRule="auto"/>
        <w:ind w:right="-1"/>
        <w:jc w:val="both"/>
        <w:rPr>
          <w:rFonts w:cs="Arial"/>
        </w:rPr>
      </w:pPr>
    </w:p>
    <w:p w:rsidRPr="00353231" w:rsidR="00353231" w:rsidP="00F25944" w:rsidRDefault="00A22E14" w14:paraId="49388E39" w14:textId="0A0C7C79">
      <w:pPr>
        <w:tabs>
          <w:tab w:val="left" w:pos="567"/>
          <w:tab w:val="left" w:pos="8505"/>
        </w:tabs>
        <w:spacing w:line="276" w:lineRule="auto"/>
        <w:ind w:right="-1"/>
        <w:jc w:val="both"/>
        <w:rPr>
          <w:rFonts w:cs="Arial"/>
          <w:b/>
          <w:bCs/>
        </w:rPr>
      </w:pPr>
      <w:r>
        <w:rPr>
          <w:rFonts w:cs="Arial"/>
          <w:b/>
          <w:bCs/>
        </w:rPr>
        <w:t xml:space="preserve">Previsiones </w:t>
      </w:r>
      <w:r w:rsidR="008E653E">
        <w:rPr>
          <w:rFonts w:cs="Arial"/>
          <w:b/>
          <w:bCs/>
        </w:rPr>
        <w:t>de crecimiento y deuda a corto plazo</w:t>
      </w:r>
    </w:p>
    <w:p w:rsidR="00C33517" w:rsidP="00F25944" w:rsidRDefault="00C33517" w14:paraId="4857DDF2" w14:textId="77777777">
      <w:pPr>
        <w:tabs>
          <w:tab w:val="left" w:pos="567"/>
          <w:tab w:val="left" w:pos="8505"/>
        </w:tabs>
        <w:spacing w:line="276" w:lineRule="auto"/>
        <w:ind w:right="-1"/>
        <w:jc w:val="both"/>
        <w:rPr>
          <w:rFonts w:cs="Arial"/>
        </w:rPr>
      </w:pPr>
    </w:p>
    <w:p w:rsidRPr="002D2F20" w:rsidR="004B61B4" w:rsidP="00F25944" w:rsidRDefault="002D2F20" w14:paraId="550C473D" w14:textId="45448AFA">
      <w:pPr>
        <w:tabs>
          <w:tab w:val="left" w:pos="567"/>
          <w:tab w:val="left" w:pos="8505"/>
        </w:tabs>
        <w:spacing w:line="276" w:lineRule="auto"/>
        <w:ind w:right="-1"/>
        <w:jc w:val="both"/>
        <w:rPr>
          <w:rFonts w:cs="Arial"/>
        </w:rPr>
      </w:pPr>
      <w:r w:rsidRPr="002D2F20">
        <w:rPr>
          <w:rFonts w:cs="Arial"/>
        </w:rPr>
        <w:t xml:space="preserve">Tras el descenso de 2022, los activos financieros mundiales deberían </w:t>
      </w:r>
      <w:r w:rsidR="00722ABA">
        <w:rPr>
          <w:rFonts w:cs="Arial"/>
        </w:rPr>
        <w:t>retomar el crecimiento</w:t>
      </w:r>
      <w:r w:rsidRPr="002D2F20">
        <w:rPr>
          <w:rFonts w:cs="Arial"/>
        </w:rPr>
        <w:t xml:space="preserve"> en 2023. Esto se </w:t>
      </w:r>
      <w:r w:rsidR="004B68EB">
        <w:rPr>
          <w:rFonts w:cs="Arial"/>
        </w:rPr>
        <w:t>sustenta</w:t>
      </w:r>
      <w:r w:rsidRPr="002D2F20">
        <w:rPr>
          <w:rFonts w:cs="Arial"/>
        </w:rPr>
        <w:t xml:space="preserve"> sobre todo en la evolución (hasta ahora) positiva de los mercados bursátiles. En conjunto, </w:t>
      </w:r>
      <w:r w:rsidR="00010477">
        <w:rPr>
          <w:rFonts w:cs="Arial"/>
        </w:rPr>
        <w:t>se podría esperar</w:t>
      </w:r>
      <w:r w:rsidRPr="002D2F20">
        <w:rPr>
          <w:rFonts w:cs="Arial"/>
        </w:rPr>
        <w:t xml:space="preserve"> que los activos financieros globales aumenten en torno al 6%, </w:t>
      </w:r>
      <w:r w:rsidR="00010477">
        <w:rPr>
          <w:rFonts w:cs="Arial"/>
        </w:rPr>
        <w:t>considerando</w:t>
      </w:r>
      <w:r w:rsidRPr="002D2F20">
        <w:rPr>
          <w:rFonts w:cs="Arial"/>
        </w:rPr>
        <w:t xml:space="preserve"> también una mayor "normalización" del comportamiento de los ahorradores.</w:t>
      </w:r>
      <w:r w:rsidR="00EC7F9E">
        <w:rPr>
          <w:rFonts w:cs="Arial"/>
        </w:rPr>
        <w:t xml:space="preserve"> </w:t>
      </w:r>
      <w:r w:rsidRPr="00EC7F9E" w:rsidR="00EC7F9E">
        <w:rPr>
          <w:rFonts w:cs="Arial"/>
        </w:rPr>
        <w:t>Sin embargo, las perspectivas a medio plazo son más bien desiguales</w:t>
      </w:r>
      <w:r w:rsidR="00E5454D">
        <w:rPr>
          <w:rFonts w:cs="Arial"/>
        </w:rPr>
        <w:t>:</w:t>
      </w:r>
      <w:r w:rsidR="00EC7F9E">
        <w:rPr>
          <w:rFonts w:cs="Arial"/>
        </w:rPr>
        <w:t xml:space="preserve"> </w:t>
      </w:r>
      <w:r w:rsidR="00E5454D">
        <w:rPr>
          <w:rFonts w:cs="Arial"/>
        </w:rPr>
        <w:t>n</w:t>
      </w:r>
      <w:r w:rsidRPr="00EC7F9E" w:rsidR="00EC7F9E">
        <w:rPr>
          <w:rFonts w:cs="Arial"/>
        </w:rPr>
        <w:t>o soplarán vientos de cola</w:t>
      </w:r>
      <w:r w:rsidR="00E5454D">
        <w:rPr>
          <w:rFonts w:cs="Arial"/>
        </w:rPr>
        <w:t>,</w:t>
      </w:r>
      <w:r w:rsidRPr="00EC7F9E" w:rsidR="00EC7F9E">
        <w:rPr>
          <w:rFonts w:cs="Arial"/>
        </w:rPr>
        <w:t xml:space="preserve"> </w:t>
      </w:r>
      <w:r w:rsidR="00E5454D">
        <w:rPr>
          <w:rFonts w:cs="Arial"/>
        </w:rPr>
        <w:t xml:space="preserve">ni </w:t>
      </w:r>
      <w:r w:rsidRPr="00EC7F9E" w:rsidR="00EC7F9E">
        <w:rPr>
          <w:rFonts w:cs="Arial"/>
        </w:rPr>
        <w:t xml:space="preserve">monetarios ni económicos. Es probable que el crecimiento medio de los activos financieros se sitúe entre el 4% y el 5% en los próximos tres años, bajo el supuesto de una rentabilidad media </w:t>
      </w:r>
      <w:r w:rsidR="00AE207E">
        <w:rPr>
          <w:rFonts w:cs="Arial"/>
        </w:rPr>
        <w:t>en</w:t>
      </w:r>
      <w:r w:rsidRPr="00EC7F9E" w:rsidR="00EC7F9E">
        <w:rPr>
          <w:rFonts w:cs="Arial"/>
        </w:rPr>
        <w:t xml:space="preserve"> los mercados bursátiles</w:t>
      </w:r>
      <w:r w:rsidR="00E5454D">
        <w:rPr>
          <w:rFonts w:cs="Arial"/>
        </w:rPr>
        <w:t>.</w:t>
      </w:r>
    </w:p>
    <w:p w:rsidRPr="00BE546D" w:rsidR="002D2F20" w:rsidP="00F25944" w:rsidRDefault="002D2F20" w14:paraId="3ED0AB04" w14:textId="77777777">
      <w:pPr>
        <w:tabs>
          <w:tab w:val="left" w:pos="567"/>
          <w:tab w:val="left" w:pos="8505"/>
        </w:tabs>
        <w:spacing w:line="276" w:lineRule="auto"/>
        <w:ind w:right="-1"/>
        <w:jc w:val="both"/>
        <w:rPr>
          <w:rFonts w:cs="Arial"/>
        </w:rPr>
      </w:pPr>
    </w:p>
    <w:p w:rsidR="000C1452" w:rsidP="00666139" w:rsidRDefault="00F35644" w14:paraId="4219438B" w14:textId="0741FD4B">
      <w:pPr>
        <w:tabs>
          <w:tab w:val="left" w:pos="567"/>
          <w:tab w:val="left" w:pos="8505"/>
        </w:tabs>
        <w:spacing w:line="276" w:lineRule="auto"/>
        <w:ind w:right="-1"/>
        <w:jc w:val="both"/>
        <w:rPr>
          <w:rFonts w:cs="Arial"/>
        </w:rPr>
      </w:pPr>
      <w:r w:rsidRPr="00F35644">
        <w:rPr>
          <w:rFonts w:cs="Arial"/>
        </w:rPr>
        <w:t xml:space="preserve">El repunte de los tipos de interés también se dejó </w:t>
      </w:r>
      <w:r w:rsidR="004B68EB">
        <w:rPr>
          <w:rFonts w:cs="Arial"/>
        </w:rPr>
        <w:t>notar</w:t>
      </w:r>
      <w:r w:rsidRPr="00F35644">
        <w:rPr>
          <w:rFonts w:cs="Arial"/>
        </w:rPr>
        <w:t xml:space="preserve"> claramente en</w:t>
      </w:r>
      <w:r w:rsidR="00D97ACA">
        <w:rPr>
          <w:rFonts w:cs="Arial"/>
        </w:rPr>
        <w:t xml:space="preserve"> el</w:t>
      </w:r>
      <w:r w:rsidRPr="00F35644">
        <w:rPr>
          <w:rFonts w:cs="Arial"/>
        </w:rPr>
        <w:t xml:space="preserve"> balance de deuda de los hogares.</w:t>
      </w:r>
      <w:r w:rsidR="00750E47">
        <w:rPr>
          <w:rFonts w:cs="Arial"/>
        </w:rPr>
        <w:t xml:space="preserve"> Tras un aumento del </w:t>
      </w:r>
      <w:r w:rsidRPr="00750E47" w:rsidR="00750E47">
        <w:rPr>
          <w:rFonts w:cs="Arial"/>
        </w:rPr>
        <w:t>7,8%</w:t>
      </w:r>
      <w:r w:rsidR="00043DCA">
        <w:rPr>
          <w:rFonts w:cs="Arial"/>
        </w:rPr>
        <w:t xml:space="preserve"> en 2021</w:t>
      </w:r>
      <w:r w:rsidR="00E57A1D">
        <w:rPr>
          <w:rFonts w:cs="Arial"/>
        </w:rPr>
        <w:t xml:space="preserve"> de </w:t>
      </w:r>
      <w:r w:rsidRPr="00F35644" w:rsidR="00E57A1D">
        <w:rPr>
          <w:rFonts w:cs="Arial"/>
        </w:rPr>
        <w:t>la deuda privada mundial</w:t>
      </w:r>
      <w:r w:rsidRPr="00F35644">
        <w:rPr>
          <w:rFonts w:cs="Arial"/>
        </w:rPr>
        <w:t xml:space="preserve">, el crecimiento se debilitó significativamente el año pasado hasta el 5,7%. En conjunto, los pasivos mundiales de los hogares </w:t>
      </w:r>
      <w:r w:rsidR="00E57A1D">
        <w:rPr>
          <w:rFonts w:cs="Arial"/>
        </w:rPr>
        <w:t>ascendieron</w:t>
      </w:r>
      <w:r w:rsidRPr="00F35644">
        <w:rPr>
          <w:rFonts w:cs="Arial"/>
        </w:rPr>
        <w:t xml:space="preserve"> a 55,8 billones de euros a finales de 2022</w:t>
      </w:r>
      <w:r w:rsidRPr="00F35644" w:rsidR="00666139">
        <w:rPr>
          <w:rFonts w:cs="Arial"/>
        </w:rPr>
        <w:t xml:space="preserve">. </w:t>
      </w:r>
      <w:r w:rsidRPr="00666139" w:rsidR="00666139">
        <w:rPr>
          <w:rFonts w:cs="Arial"/>
        </w:rPr>
        <w:t xml:space="preserve">A medida que la brecha entre la deuda y el crecimiento económico se ampliaba hasta los 3,9 puntos porcentuales, </w:t>
      </w:r>
      <w:r w:rsidR="007914C9">
        <w:rPr>
          <w:rFonts w:cs="Arial"/>
        </w:rPr>
        <w:t>la</w:t>
      </w:r>
      <w:r w:rsidR="004B68EB">
        <w:rPr>
          <w:rFonts w:cs="Arial"/>
        </w:rPr>
        <w:t xml:space="preserve"> </w:t>
      </w:r>
      <w:r w:rsidRPr="00666139" w:rsidR="00666139">
        <w:rPr>
          <w:rFonts w:cs="Arial"/>
        </w:rPr>
        <w:t>ratio deuda/PIB (pasivo en porcentaje del PIB) mundial se fue reduciendo significativamente en más de 2 puntos porcentuales hasta situarse en el 66,1% en 2022. Es decir, la ratio de endeudamiento mundial de los hogares ha vuelto a situarse aproximadamente en el mismo nivel que a principios del milenio, lo que supone un grado notable de estabilidad que no se ajusta a la idea generalizada de un mundo inmerso en el endeudamiento.</w:t>
      </w:r>
    </w:p>
    <w:p w:rsidR="00666139" w:rsidP="00666139" w:rsidRDefault="00666139" w14:paraId="036BCBFE" w14:textId="77777777">
      <w:pPr>
        <w:tabs>
          <w:tab w:val="left" w:pos="567"/>
          <w:tab w:val="left" w:pos="8505"/>
        </w:tabs>
        <w:spacing w:line="276" w:lineRule="auto"/>
        <w:ind w:right="-1"/>
        <w:jc w:val="both"/>
        <w:rPr>
          <w:rFonts w:cs="Arial"/>
        </w:rPr>
      </w:pPr>
    </w:p>
    <w:p w:rsidRPr="00F35644" w:rsidR="00F35644" w:rsidP="00F35644" w:rsidRDefault="00F35644" w14:paraId="40F2899E" w14:textId="5F9E927A" w14:noSpellErr="1">
      <w:pPr>
        <w:tabs>
          <w:tab w:val="left" w:pos="567"/>
          <w:tab w:val="left" w:pos="8505"/>
        </w:tabs>
        <w:spacing w:line="276" w:lineRule="auto"/>
        <w:ind w:right="-1"/>
        <w:jc w:val="both"/>
        <w:rPr>
          <w:rFonts w:cs="Arial"/>
        </w:rPr>
      </w:pPr>
      <w:r w:rsidRPr="119E178E" w:rsidR="00F35644">
        <w:rPr>
          <w:rFonts w:cs="Arial"/>
        </w:rPr>
        <w:t xml:space="preserve">Sin embargo, se han producido cambios importantes en el mapa de la deuda mundial. En primer lugar, </w:t>
      </w:r>
      <w:r w:rsidRPr="119E178E" w:rsidR="00515452">
        <w:rPr>
          <w:rFonts w:cs="Arial"/>
        </w:rPr>
        <w:t>las economías avanzad</w:t>
      </w:r>
      <w:r w:rsidRPr="119E178E" w:rsidR="00515452">
        <w:rPr>
          <w:rFonts w:cs="Arial"/>
        </w:rPr>
        <w:t xml:space="preserve">as se </w:t>
      </w:r>
      <w:r w:rsidRPr="119E178E" w:rsidR="00515452">
        <w:rPr>
          <w:rFonts w:cs="Arial"/>
        </w:rPr>
        <w:t>caracteriza</w:t>
      </w:r>
      <w:r w:rsidRPr="119E178E" w:rsidR="00515452">
        <w:rPr>
          <w:rFonts w:cs="Arial"/>
        </w:rPr>
        <w:t xml:space="preserve">n por </w:t>
      </w:r>
      <w:r w:rsidRPr="119E178E" w:rsidR="00515452">
        <w:rPr>
          <w:rFonts w:cs="Arial"/>
        </w:rPr>
        <w:t>la estabilidad</w:t>
      </w:r>
      <w:r w:rsidRPr="119E178E" w:rsidR="00515452">
        <w:rPr>
          <w:rFonts w:cs="Arial"/>
        </w:rPr>
        <w:t xml:space="preserve">. </w:t>
      </w:r>
      <w:r w:rsidRPr="119E178E" w:rsidR="00F35644">
        <w:rPr>
          <w:rFonts w:cs="Arial"/>
        </w:rPr>
        <w:t xml:space="preserve">Por otro </w:t>
      </w:r>
      <w:r w:rsidRPr="119E178E" w:rsidR="00F35644">
        <w:rPr>
          <w:rFonts w:cs="Arial"/>
        </w:rPr>
        <w:t>lado, la mayoría de los mercados emergentes ha visto aumentar bruscamente sus ratios de deuda en las dos últimas décadas.</w:t>
      </w:r>
    </w:p>
    <w:p w:rsidR="119E178E" w:rsidP="119E178E" w:rsidRDefault="119E178E" w14:paraId="4BBFB9AE" w14:textId="10A720AB">
      <w:pPr>
        <w:pStyle w:val="Normal"/>
        <w:tabs>
          <w:tab w:val="left" w:leader="none" w:pos="567"/>
          <w:tab w:val="left" w:leader="none" w:pos="8505"/>
        </w:tabs>
        <w:spacing w:line="276" w:lineRule="auto"/>
        <w:ind w:right="-1"/>
        <w:jc w:val="both"/>
        <w:rPr>
          <w:rFonts w:cs="Arial"/>
        </w:rPr>
      </w:pPr>
    </w:p>
    <w:p w:rsidR="119E178E" w:rsidP="119E178E" w:rsidRDefault="119E178E" w14:paraId="1FFDE514" w14:textId="5434973B">
      <w:pPr>
        <w:pStyle w:val="Normal"/>
        <w:tabs>
          <w:tab w:val="left" w:leader="none" w:pos="567"/>
          <w:tab w:val="left" w:leader="none" w:pos="8505"/>
        </w:tabs>
        <w:spacing w:line="276" w:lineRule="auto"/>
        <w:ind w:right="-1"/>
        <w:jc w:val="both"/>
        <w:rPr>
          <w:rFonts w:cs="Arial"/>
        </w:rPr>
      </w:pPr>
    </w:p>
    <w:p w:rsidR="119E178E" w:rsidP="119E178E" w:rsidRDefault="119E178E" w14:paraId="1567ECC0" w14:textId="1C2E54BA">
      <w:pPr>
        <w:pStyle w:val="Normal"/>
        <w:tabs>
          <w:tab w:val="left" w:leader="none" w:pos="567"/>
          <w:tab w:val="left" w:leader="none" w:pos="8505"/>
        </w:tabs>
        <w:spacing w:line="276" w:lineRule="auto"/>
        <w:ind w:right="-1"/>
        <w:jc w:val="both"/>
        <w:rPr>
          <w:rFonts w:cs="Arial"/>
        </w:rPr>
      </w:pPr>
    </w:p>
    <w:p w:rsidR="119E178E" w:rsidP="119E178E" w:rsidRDefault="119E178E" w14:paraId="635D46DF" w14:textId="4DF50507">
      <w:pPr>
        <w:pStyle w:val="Normal"/>
        <w:tabs>
          <w:tab w:val="left" w:leader="none" w:pos="567"/>
          <w:tab w:val="left" w:leader="none" w:pos="8505"/>
        </w:tabs>
        <w:spacing w:line="276" w:lineRule="auto"/>
        <w:ind w:right="-1"/>
        <w:jc w:val="both"/>
        <w:rPr>
          <w:rFonts w:cs="Arial"/>
        </w:rPr>
      </w:pPr>
    </w:p>
    <w:p w:rsidR="119E178E" w:rsidP="119E178E" w:rsidRDefault="119E178E" w14:paraId="15B31D09" w14:textId="11361F88">
      <w:pPr>
        <w:pStyle w:val="Normal"/>
        <w:tabs>
          <w:tab w:val="left" w:leader="none" w:pos="567"/>
          <w:tab w:val="left" w:leader="none" w:pos="8505"/>
        </w:tabs>
        <w:spacing w:line="276" w:lineRule="auto"/>
        <w:ind w:right="-1"/>
        <w:jc w:val="both"/>
        <w:rPr>
          <w:rFonts w:cs="Arial"/>
        </w:rPr>
      </w:pPr>
    </w:p>
    <w:p w:rsidRPr="00F35644" w:rsidR="00F35644" w:rsidP="00F35644" w:rsidRDefault="00F35644" w14:paraId="277637A7" w14:textId="77777777">
      <w:pPr>
        <w:tabs>
          <w:tab w:val="left" w:pos="567"/>
          <w:tab w:val="left" w:pos="8505"/>
        </w:tabs>
        <w:spacing w:line="276" w:lineRule="auto"/>
        <w:ind w:right="-1"/>
        <w:jc w:val="both"/>
        <w:rPr>
          <w:rFonts w:cs="Arial"/>
        </w:rPr>
      </w:pPr>
    </w:p>
    <w:p w:rsidR="00AD3D92" w:rsidP="00AD3D92" w:rsidRDefault="00AD3D92" w14:paraId="327B70FF" w14:textId="77777777">
      <w:pPr>
        <w:pStyle w:val="TextPM"/>
        <w:spacing w:after="0"/>
        <w:rPr>
          <w:rFonts w:asciiTheme="majorHAnsi" w:hAnsiTheme="majorHAnsi" w:eastAsiaTheme="minorHAnsi" w:cstheme="minorBidi"/>
          <w:b/>
          <w:bCs/>
          <w:color w:val="44546A" w:themeColor="text2"/>
          <w:lang w:val="it-IT" w:eastAsia="en-US"/>
        </w:rPr>
      </w:pPr>
      <w:r w:rsidRPr="004A3255">
        <w:rPr>
          <w:rFonts w:asciiTheme="majorHAnsi" w:hAnsiTheme="majorHAnsi" w:eastAsiaTheme="minorHAnsi" w:cstheme="minorBidi"/>
          <w:b/>
          <w:bCs/>
          <w:color w:val="44546A" w:themeColor="text2"/>
          <w:lang w:val="it-IT" w:eastAsia="en-US"/>
        </w:rPr>
        <w:t>Net financial assets per capita in 202</w:t>
      </w:r>
      <w:r>
        <w:rPr>
          <w:rFonts w:asciiTheme="majorHAnsi" w:hAnsiTheme="majorHAnsi" w:eastAsiaTheme="minorHAnsi" w:cstheme="minorBidi"/>
          <w:b/>
          <w:bCs/>
          <w:color w:val="44546A" w:themeColor="text2"/>
          <w:lang w:val="it-IT" w:eastAsia="en-US"/>
        </w:rPr>
        <w:t>2</w:t>
      </w:r>
    </w:p>
    <w:p w:rsidRPr="004A3255" w:rsidR="00AD3D92" w:rsidP="00AD3D92" w:rsidRDefault="00AD3D92" w14:paraId="44AAC678" w14:textId="77777777">
      <w:pPr>
        <w:pStyle w:val="TextPM"/>
        <w:spacing w:after="0"/>
        <w:rPr>
          <w:rFonts w:asciiTheme="majorHAnsi" w:hAnsiTheme="majorHAnsi" w:eastAsiaTheme="minorHAnsi" w:cstheme="minorBidi"/>
          <w:color w:val="44546A" w:themeColor="text2"/>
          <w:lang w:val="it-IT" w:eastAsia="en-US"/>
        </w:rPr>
      </w:pPr>
    </w:p>
    <w:tbl>
      <w:tblPr>
        <w:tblStyle w:val="AZMeetingAgenda"/>
        <w:tblW w:w="0" w:type="auto"/>
        <w:tblLook w:val="04A0" w:firstRow="1" w:lastRow="0" w:firstColumn="1" w:lastColumn="0" w:noHBand="0" w:noVBand="1"/>
      </w:tblPr>
      <w:tblGrid>
        <w:gridCol w:w="682"/>
        <w:gridCol w:w="2810"/>
        <w:gridCol w:w="1591"/>
        <w:gridCol w:w="1705"/>
        <w:gridCol w:w="1716"/>
      </w:tblGrid>
      <w:tr w:rsidRPr="001428EB" w:rsidR="00AD3D92" w:rsidTr="003D1995" w14:paraId="4AC3E063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15"/>
        </w:trPr>
        <w:tc>
          <w:tcPr>
            <w:tcW w:w="709" w:type="dxa"/>
          </w:tcPr>
          <w:p w:rsidRPr="0057092F" w:rsidR="00AD3D92" w:rsidP="003D1995" w:rsidRDefault="00AD3D92" w14:paraId="668CCFA5" w14:textId="77777777">
            <w:pPr>
              <w:rPr>
                <w:rFonts w:cs="Dresdner Bank AG"/>
                <w:bCs/>
                <w:color w:val="365F91"/>
                <w:szCs w:val="20"/>
                <w:lang w:val="it-IT"/>
              </w:rPr>
            </w:pPr>
          </w:p>
        </w:tc>
        <w:tc>
          <w:tcPr>
            <w:tcW w:w="2986" w:type="dxa"/>
          </w:tcPr>
          <w:p w:rsidRPr="0057092F" w:rsidR="00AD3D92" w:rsidP="003D1995" w:rsidRDefault="00AD3D92" w14:paraId="4306D5EB" w14:textId="77777777">
            <w:pPr>
              <w:rPr>
                <w:rFonts w:cs="Dresdner Bank AG"/>
                <w:bCs/>
                <w:color w:val="365F91"/>
                <w:szCs w:val="20"/>
                <w:lang w:val="it-IT"/>
              </w:rPr>
            </w:pPr>
          </w:p>
        </w:tc>
        <w:tc>
          <w:tcPr>
            <w:tcW w:w="1667" w:type="dxa"/>
          </w:tcPr>
          <w:p w:rsidRPr="004567CE" w:rsidR="00AD3D92" w:rsidP="003D1995" w:rsidRDefault="00AD3D92" w14:paraId="78495E33" w14:textId="77777777">
            <w:pPr>
              <w:jc w:val="center"/>
              <w:rPr>
                <w:rFonts w:cs="Dresdner Bank AG"/>
                <w:bCs/>
                <w:color w:val="365F91"/>
                <w:szCs w:val="20"/>
                <w:lang w:val="en-US"/>
              </w:rPr>
            </w:pPr>
            <w:r>
              <w:rPr>
                <w:rFonts w:cs="Dresdner Bank AG"/>
                <w:bCs/>
                <w:color w:val="365F91"/>
                <w:szCs w:val="20"/>
                <w:lang w:val="en-US"/>
              </w:rPr>
              <w:t>In Euro</w:t>
            </w:r>
          </w:p>
        </w:tc>
        <w:tc>
          <w:tcPr>
            <w:tcW w:w="1832" w:type="dxa"/>
          </w:tcPr>
          <w:p w:rsidRPr="004567CE" w:rsidR="00AD3D92" w:rsidP="003D1995" w:rsidRDefault="00AD3D92" w14:paraId="31AFD5D2" w14:textId="77777777">
            <w:pPr>
              <w:jc w:val="center"/>
              <w:rPr>
                <w:rFonts w:cs="Dresdner Bank AG"/>
                <w:bCs/>
                <w:color w:val="365F91"/>
                <w:szCs w:val="20"/>
                <w:lang w:val="en-US"/>
              </w:rPr>
            </w:pPr>
            <w:r>
              <w:rPr>
                <w:rFonts w:cs="Dresdner Bank AG"/>
                <w:bCs/>
                <w:color w:val="365F91"/>
                <w:szCs w:val="20"/>
                <w:lang w:val="en-US"/>
              </w:rPr>
              <w:t>Y/Y in %</w:t>
            </w:r>
          </w:p>
        </w:tc>
        <w:tc>
          <w:tcPr>
            <w:tcW w:w="1832" w:type="dxa"/>
          </w:tcPr>
          <w:p w:rsidRPr="004567CE" w:rsidR="00AD3D92" w:rsidP="003D1995" w:rsidRDefault="00AD3D92" w14:paraId="41AAA68A" w14:textId="77777777">
            <w:pPr>
              <w:jc w:val="center"/>
              <w:rPr>
                <w:rFonts w:cs="Dresdner Bank AG"/>
                <w:bCs/>
                <w:color w:val="365F91"/>
                <w:szCs w:val="20"/>
                <w:lang w:val="en-US"/>
              </w:rPr>
            </w:pPr>
            <w:r>
              <w:rPr>
                <w:rFonts w:cs="Dresdner Bank AG"/>
                <w:bCs/>
                <w:color w:val="365F91"/>
                <w:szCs w:val="20"/>
                <w:lang w:val="en-US"/>
              </w:rPr>
              <w:t>Rank 2002</w:t>
            </w:r>
          </w:p>
        </w:tc>
      </w:tr>
      <w:tr w:rsidRPr="001366AF" w:rsidR="00AD3D92" w:rsidTr="003D1995" w14:paraId="0327CF2F" w14:textId="77777777">
        <w:tblPrEx>
          <w:tblCellMar>
            <w:left w:w="108" w:type="dxa"/>
            <w:right w:w="108" w:type="dxa"/>
          </w:tblCellMar>
        </w:tblPrEx>
        <w:trPr>
          <w:trHeight w:val="215"/>
        </w:trPr>
        <w:tc>
          <w:tcPr>
            <w:tcW w:w="709" w:type="dxa"/>
          </w:tcPr>
          <w:p w:rsidR="00AD3D92" w:rsidP="003D1995" w:rsidRDefault="00AD3D92" w14:paraId="57841127" w14:textId="77777777">
            <w:pPr>
              <w:rPr>
                <w:rFonts w:cs="Dresdner Bank AG"/>
                <w:bCs/>
                <w:color w:val="365F91"/>
                <w:szCs w:val="20"/>
                <w:lang w:val="en-US"/>
              </w:rPr>
            </w:pPr>
            <w:r>
              <w:rPr>
                <w:rFonts w:cs="Dresdner Bank AG"/>
                <w:bCs/>
                <w:color w:val="365F91"/>
                <w:szCs w:val="20"/>
                <w:lang w:val="en-US"/>
              </w:rPr>
              <w:t>1</w:t>
            </w:r>
          </w:p>
        </w:tc>
        <w:tc>
          <w:tcPr>
            <w:tcW w:w="2986" w:type="dxa"/>
          </w:tcPr>
          <w:p w:rsidR="00AD3D92" w:rsidP="003D1995" w:rsidRDefault="00AD3D92" w14:paraId="0092E12F" w14:textId="77777777">
            <w:pPr>
              <w:rPr>
                <w:rFonts w:cs="Dresdner Bank AG"/>
                <w:bCs/>
                <w:color w:val="365F91"/>
                <w:szCs w:val="20"/>
                <w:lang w:val="en-US"/>
              </w:rPr>
            </w:pPr>
            <w:r>
              <w:rPr>
                <w:rFonts w:cs="Dresdner Bank AG"/>
                <w:bCs/>
                <w:color w:val="365F91"/>
                <w:szCs w:val="20"/>
                <w:lang w:val="en-US"/>
              </w:rPr>
              <w:t>United States</w:t>
            </w:r>
          </w:p>
        </w:tc>
        <w:tc>
          <w:tcPr>
            <w:tcW w:w="1667" w:type="dxa"/>
          </w:tcPr>
          <w:p w:rsidR="00AD3D92" w:rsidP="003D1995" w:rsidRDefault="00AD3D92" w14:paraId="1DD57DA6" w14:textId="77777777">
            <w:pPr>
              <w:jc w:val="center"/>
              <w:rPr>
                <w:rFonts w:cs="Dresdner Bank AG"/>
                <w:color w:val="365F91"/>
                <w:szCs w:val="20"/>
                <w:lang w:val="en-US"/>
              </w:rPr>
            </w:pPr>
            <w:r>
              <w:rPr>
                <w:rFonts w:cs="Dresdner Bank AG"/>
                <w:color w:val="365F91"/>
                <w:szCs w:val="20"/>
                <w:lang w:val="en-US"/>
              </w:rPr>
              <w:t>251,860</w:t>
            </w:r>
          </w:p>
        </w:tc>
        <w:tc>
          <w:tcPr>
            <w:tcW w:w="1832" w:type="dxa"/>
          </w:tcPr>
          <w:p w:rsidRPr="005A251C" w:rsidR="00AD3D92" w:rsidP="003D1995" w:rsidRDefault="00AD3D92" w14:paraId="22421E47" w14:textId="77777777">
            <w:pPr>
              <w:jc w:val="center"/>
              <w:rPr>
                <w:rFonts w:cs="Dresdner Bank AG"/>
                <w:color w:val="365F91"/>
                <w:szCs w:val="20"/>
                <w:lang w:val="en-US"/>
              </w:rPr>
            </w:pPr>
            <w:r>
              <w:rPr>
                <w:rFonts w:cs="Dresdner Bank AG"/>
                <w:color w:val="365F91"/>
                <w:szCs w:val="20"/>
                <w:lang w:val="en-US"/>
              </w:rPr>
              <w:t>-8.9</w:t>
            </w:r>
          </w:p>
        </w:tc>
        <w:tc>
          <w:tcPr>
            <w:tcW w:w="1832" w:type="dxa"/>
          </w:tcPr>
          <w:p w:rsidR="00AD3D92" w:rsidP="003D1995" w:rsidRDefault="00AD3D92" w14:paraId="5D904805" w14:textId="77777777">
            <w:pPr>
              <w:jc w:val="center"/>
              <w:rPr>
                <w:rFonts w:cs="Dresdner Bank AG"/>
                <w:color w:val="365F91"/>
                <w:szCs w:val="20"/>
                <w:lang w:val="en-US"/>
              </w:rPr>
            </w:pPr>
            <w:r>
              <w:rPr>
                <w:rFonts w:cs="Dresdner Bank AG"/>
                <w:color w:val="365F91"/>
                <w:szCs w:val="20"/>
                <w:lang w:val="en-US"/>
              </w:rPr>
              <w:t>2</w:t>
            </w:r>
          </w:p>
        </w:tc>
      </w:tr>
      <w:tr w:rsidRPr="001366AF" w:rsidR="00AD3D92" w:rsidTr="003D1995" w14:paraId="5CC7FA53" w14:textId="77777777">
        <w:tblPrEx>
          <w:tblCellMar>
            <w:left w:w="108" w:type="dxa"/>
            <w:right w:w="108" w:type="dxa"/>
          </w:tblCellMar>
        </w:tblPrEx>
        <w:trPr>
          <w:trHeight w:val="215"/>
        </w:trPr>
        <w:tc>
          <w:tcPr>
            <w:tcW w:w="709" w:type="dxa"/>
          </w:tcPr>
          <w:p w:rsidRPr="004A3255" w:rsidR="00AD3D92" w:rsidP="003D1995" w:rsidRDefault="00AD3D92" w14:paraId="2943F453" w14:textId="77777777">
            <w:pPr>
              <w:rPr>
                <w:rFonts w:cs="Dresdner Bank AG"/>
                <w:color w:val="365F91"/>
                <w:szCs w:val="20"/>
              </w:rPr>
            </w:pPr>
            <w:r>
              <w:rPr>
                <w:rFonts w:cs="Dresdner Bank AG"/>
                <w:color w:val="365F91"/>
                <w:szCs w:val="20"/>
              </w:rPr>
              <w:t>2</w:t>
            </w:r>
          </w:p>
        </w:tc>
        <w:tc>
          <w:tcPr>
            <w:tcW w:w="2986" w:type="dxa"/>
          </w:tcPr>
          <w:p w:rsidRPr="004A3255" w:rsidR="00AD3D92" w:rsidP="003D1995" w:rsidRDefault="00AD3D92" w14:paraId="2F00DB1D" w14:textId="77777777">
            <w:pPr>
              <w:rPr>
                <w:rFonts w:cs="Dresdner Bank AG"/>
                <w:b/>
                <w:bCs/>
                <w:color w:val="365F91"/>
                <w:szCs w:val="20"/>
              </w:rPr>
            </w:pPr>
            <w:r w:rsidRPr="004A3255">
              <w:rPr>
                <w:rFonts w:cs="Dresdner Bank AG"/>
                <w:color w:val="365F91"/>
                <w:szCs w:val="20"/>
              </w:rPr>
              <w:t>Switzerland</w:t>
            </w:r>
          </w:p>
        </w:tc>
        <w:tc>
          <w:tcPr>
            <w:tcW w:w="1667" w:type="dxa"/>
          </w:tcPr>
          <w:p w:rsidRPr="004A3255" w:rsidR="00AD3D92" w:rsidP="003D1995" w:rsidRDefault="00AD3D92" w14:paraId="4EE2B28A" w14:textId="77777777">
            <w:pPr>
              <w:jc w:val="center"/>
              <w:rPr>
                <w:rFonts w:cs="Dresdner Bank AG"/>
                <w:color w:val="365F91"/>
                <w:szCs w:val="20"/>
              </w:rPr>
            </w:pPr>
            <w:r w:rsidRPr="004A3255">
              <w:rPr>
                <w:rFonts w:cs="Dresdner Bank AG"/>
                <w:color w:val="365F91"/>
                <w:szCs w:val="20"/>
                <w:lang w:val="en-US"/>
              </w:rPr>
              <w:t>23</w:t>
            </w:r>
            <w:r>
              <w:rPr>
                <w:rFonts w:cs="Dresdner Bank AG"/>
                <w:color w:val="365F91"/>
                <w:szCs w:val="20"/>
                <w:lang w:val="en-US"/>
              </w:rPr>
              <w:t>8,780</w:t>
            </w:r>
          </w:p>
        </w:tc>
        <w:tc>
          <w:tcPr>
            <w:tcW w:w="1832" w:type="dxa"/>
          </w:tcPr>
          <w:p w:rsidRPr="004A3255" w:rsidR="00AD3D92" w:rsidP="003D1995" w:rsidRDefault="00AD3D92" w14:paraId="69E82B27" w14:textId="77777777">
            <w:pPr>
              <w:jc w:val="center"/>
              <w:rPr>
                <w:rFonts w:cs="Dresdner Bank AG"/>
                <w:color w:val="365F91"/>
                <w:szCs w:val="20"/>
              </w:rPr>
            </w:pPr>
            <w:r>
              <w:rPr>
                <w:rFonts w:cs="Dresdner Bank AG"/>
                <w:color w:val="365F91"/>
                <w:szCs w:val="20"/>
              </w:rPr>
              <w:t>-4.4</w:t>
            </w:r>
          </w:p>
        </w:tc>
        <w:tc>
          <w:tcPr>
            <w:tcW w:w="1832" w:type="dxa"/>
          </w:tcPr>
          <w:p w:rsidRPr="004A3255" w:rsidR="00AD3D92" w:rsidP="003D1995" w:rsidRDefault="00AD3D92" w14:paraId="0ACC5AE7" w14:textId="77777777">
            <w:pPr>
              <w:jc w:val="center"/>
              <w:rPr>
                <w:rFonts w:cs="Dresdner Bank AG"/>
                <w:color w:val="365F91"/>
                <w:szCs w:val="20"/>
              </w:rPr>
            </w:pPr>
            <w:r>
              <w:rPr>
                <w:rFonts w:cs="Dresdner Bank AG"/>
                <w:color w:val="365F91"/>
                <w:szCs w:val="20"/>
              </w:rPr>
              <w:t>1</w:t>
            </w:r>
          </w:p>
        </w:tc>
      </w:tr>
      <w:tr w:rsidRPr="001366AF" w:rsidR="00AD3D92" w:rsidTr="003D1995" w14:paraId="50C79A6B" w14:textId="77777777">
        <w:tblPrEx>
          <w:tblCellMar>
            <w:left w:w="108" w:type="dxa"/>
            <w:right w:w="108" w:type="dxa"/>
          </w:tblCellMar>
        </w:tblPrEx>
        <w:trPr>
          <w:trHeight w:val="215"/>
        </w:trPr>
        <w:tc>
          <w:tcPr>
            <w:tcW w:w="709" w:type="dxa"/>
          </w:tcPr>
          <w:p w:rsidRPr="004A3255" w:rsidR="00AD3D92" w:rsidP="003D1995" w:rsidRDefault="00AD3D92" w14:paraId="7EDB3B02" w14:textId="77777777">
            <w:pPr>
              <w:rPr>
                <w:rFonts w:cs="Dresdner Bank AG"/>
                <w:color w:val="365F91"/>
                <w:szCs w:val="20"/>
              </w:rPr>
            </w:pPr>
            <w:r>
              <w:rPr>
                <w:rFonts w:cs="Dresdner Bank AG"/>
                <w:color w:val="365F91"/>
                <w:szCs w:val="20"/>
              </w:rPr>
              <w:t>3</w:t>
            </w:r>
          </w:p>
        </w:tc>
        <w:tc>
          <w:tcPr>
            <w:tcW w:w="2986" w:type="dxa"/>
          </w:tcPr>
          <w:p w:rsidRPr="004A3255" w:rsidR="00AD3D92" w:rsidP="003D1995" w:rsidRDefault="00AD3D92" w14:paraId="3B73BB68" w14:textId="77777777">
            <w:pPr>
              <w:rPr>
                <w:rFonts w:cs="Dresdner Bank AG"/>
                <w:color w:val="365F91"/>
                <w:szCs w:val="20"/>
              </w:rPr>
            </w:pPr>
            <w:r w:rsidRPr="004A3255">
              <w:rPr>
                <w:rFonts w:cs="Dresdner Bank AG"/>
                <w:color w:val="365F91"/>
                <w:szCs w:val="20"/>
              </w:rPr>
              <w:t>Denmark</w:t>
            </w:r>
          </w:p>
        </w:tc>
        <w:tc>
          <w:tcPr>
            <w:tcW w:w="1667" w:type="dxa"/>
          </w:tcPr>
          <w:p w:rsidRPr="004567CE" w:rsidR="00AD3D92" w:rsidP="003D1995" w:rsidRDefault="00AD3D92" w14:paraId="61E94C09" w14:textId="77777777">
            <w:pPr>
              <w:jc w:val="center"/>
              <w:rPr>
                <w:rFonts w:cs="Dresdner Bank AG"/>
                <w:color w:val="365F91"/>
                <w:szCs w:val="20"/>
              </w:rPr>
            </w:pPr>
            <w:r w:rsidRPr="004A3255">
              <w:rPr>
                <w:rFonts w:cs="Dresdner Bank AG"/>
                <w:color w:val="365F91"/>
                <w:szCs w:val="20"/>
                <w:lang w:val="en-US"/>
              </w:rPr>
              <w:t>1</w:t>
            </w:r>
            <w:r>
              <w:rPr>
                <w:rFonts w:cs="Dresdner Bank AG"/>
                <w:color w:val="365F91"/>
                <w:szCs w:val="20"/>
                <w:lang w:val="en-US"/>
              </w:rPr>
              <w:t>63,830</w:t>
            </w:r>
          </w:p>
        </w:tc>
        <w:tc>
          <w:tcPr>
            <w:tcW w:w="1832" w:type="dxa"/>
          </w:tcPr>
          <w:p w:rsidRPr="004567CE" w:rsidR="00AD3D92" w:rsidP="003D1995" w:rsidRDefault="00AD3D92" w14:paraId="4E16EB81" w14:textId="77777777">
            <w:pPr>
              <w:jc w:val="center"/>
              <w:rPr>
                <w:rFonts w:cs="Dresdner Bank AG"/>
                <w:color w:val="365F91"/>
                <w:szCs w:val="20"/>
              </w:rPr>
            </w:pPr>
            <w:r>
              <w:rPr>
                <w:rFonts w:cs="Dresdner Bank AG"/>
                <w:color w:val="365F91"/>
                <w:szCs w:val="20"/>
              </w:rPr>
              <w:t>-9.9</w:t>
            </w:r>
          </w:p>
        </w:tc>
        <w:tc>
          <w:tcPr>
            <w:tcW w:w="1832" w:type="dxa"/>
          </w:tcPr>
          <w:p w:rsidRPr="004567CE" w:rsidR="00AD3D92" w:rsidP="003D1995" w:rsidRDefault="00AD3D92" w14:paraId="6055A5D4" w14:textId="77777777">
            <w:pPr>
              <w:jc w:val="center"/>
              <w:rPr>
                <w:rFonts w:cs="Dresdner Bank AG"/>
                <w:color w:val="365F91"/>
                <w:szCs w:val="20"/>
              </w:rPr>
            </w:pPr>
            <w:r>
              <w:rPr>
                <w:rFonts w:cs="Dresdner Bank AG"/>
                <w:color w:val="365F91"/>
                <w:szCs w:val="20"/>
              </w:rPr>
              <w:t>18</w:t>
            </w:r>
          </w:p>
        </w:tc>
      </w:tr>
      <w:tr w:rsidRPr="001366AF" w:rsidR="00AD3D92" w:rsidTr="003D1995" w14:paraId="2DB02440" w14:textId="77777777">
        <w:tblPrEx>
          <w:tblCellMar>
            <w:left w:w="108" w:type="dxa"/>
            <w:right w:w="108" w:type="dxa"/>
          </w:tblCellMar>
        </w:tblPrEx>
        <w:trPr>
          <w:trHeight w:val="215"/>
        </w:trPr>
        <w:tc>
          <w:tcPr>
            <w:tcW w:w="709" w:type="dxa"/>
          </w:tcPr>
          <w:p w:rsidR="00AD3D92" w:rsidP="003D1995" w:rsidRDefault="00AD3D92" w14:paraId="147BE400" w14:textId="77777777">
            <w:pPr>
              <w:rPr>
                <w:rFonts w:cs="Dresdner Bank AG"/>
                <w:bCs/>
                <w:color w:val="365F91"/>
                <w:szCs w:val="20"/>
              </w:rPr>
            </w:pPr>
            <w:r>
              <w:rPr>
                <w:rFonts w:cs="Dresdner Bank AG"/>
                <w:bCs/>
                <w:color w:val="365F91"/>
                <w:szCs w:val="20"/>
              </w:rPr>
              <w:t>4</w:t>
            </w:r>
          </w:p>
        </w:tc>
        <w:tc>
          <w:tcPr>
            <w:tcW w:w="2986" w:type="dxa"/>
          </w:tcPr>
          <w:p w:rsidRPr="004567CE" w:rsidR="00AD3D92" w:rsidP="003D1995" w:rsidRDefault="00AD3D92" w14:paraId="6FE68167" w14:textId="77777777">
            <w:pPr>
              <w:rPr>
                <w:rFonts w:cs="Dresdner Bank AG"/>
                <w:b/>
                <w:bCs/>
                <w:color w:val="365F91"/>
                <w:szCs w:val="20"/>
              </w:rPr>
            </w:pPr>
            <w:r>
              <w:rPr>
                <w:rFonts w:cs="Dresdner Bank AG"/>
                <w:bCs/>
                <w:color w:val="365F91"/>
                <w:szCs w:val="20"/>
              </w:rPr>
              <w:t>Singapore</w:t>
            </w:r>
          </w:p>
        </w:tc>
        <w:tc>
          <w:tcPr>
            <w:tcW w:w="1667" w:type="dxa"/>
          </w:tcPr>
          <w:p w:rsidRPr="004567CE" w:rsidR="00AD3D92" w:rsidP="003D1995" w:rsidRDefault="00AD3D92" w14:paraId="78FF4F77" w14:textId="77777777">
            <w:pPr>
              <w:jc w:val="center"/>
              <w:rPr>
                <w:rFonts w:cs="Dresdner Bank AG"/>
                <w:color w:val="365F91"/>
                <w:szCs w:val="20"/>
              </w:rPr>
            </w:pPr>
            <w:r w:rsidRPr="004A3255">
              <w:rPr>
                <w:rFonts w:cs="Dresdner Bank AG"/>
                <w:color w:val="365F91"/>
                <w:szCs w:val="20"/>
                <w:lang w:val="en-US"/>
              </w:rPr>
              <w:t>1</w:t>
            </w:r>
            <w:r>
              <w:rPr>
                <w:rFonts w:cs="Dresdner Bank AG"/>
                <w:color w:val="365F91"/>
                <w:szCs w:val="20"/>
                <w:lang w:val="en-US"/>
              </w:rPr>
              <w:t>51,200</w:t>
            </w:r>
          </w:p>
        </w:tc>
        <w:tc>
          <w:tcPr>
            <w:tcW w:w="1832" w:type="dxa"/>
          </w:tcPr>
          <w:p w:rsidRPr="004567CE" w:rsidR="00AD3D92" w:rsidP="003D1995" w:rsidRDefault="00AD3D92" w14:paraId="75987C97" w14:textId="77777777">
            <w:pPr>
              <w:jc w:val="center"/>
              <w:rPr>
                <w:rFonts w:cs="Dresdner Bank AG"/>
                <w:color w:val="365F91"/>
                <w:szCs w:val="20"/>
              </w:rPr>
            </w:pPr>
            <w:r>
              <w:rPr>
                <w:rFonts w:cs="Dresdner Bank AG"/>
                <w:color w:val="365F91"/>
                <w:szCs w:val="20"/>
              </w:rPr>
              <w:t>+3.9</w:t>
            </w:r>
          </w:p>
        </w:tc>
        <w:tc>
          <w:tcPr>
            <w:tcW w:w="1832" w:type="dxa"/>
          </w:tcPr>
          <w:p w:rsidRPr="004567CE" w:rsidR="00AD3D92" w:rsidP="003D1995" w:rsidRDefault="00AD3D92" w14:paraId="75F0B080" w14:textId="77777777">
            <w:pPr>
              <w:jc w:val="center"/>
              <w:rPr>
                <w:rFonts w:cs="Dresdner Bank AG"/>
                <w:color w:val="365F91"/>
                <w:szCs w:val="20"/>
              </w:rPr>
            </w:pPr>
            <w:r>
              <w:rPr>
                <w:rFonts w:cs="Dresdner Bank AG"/>
                <w:color w:val="365F91"/>
                <w:szCs w:val="20"/>
              </w:rPr>
              <w:t>11</w:t>
            </w:r>
          </w:p>
        </w:tc>
      </w:tr>
      <w:tr w:rsidRPr="001366AF" w:rsidR="00AD3D92" w:rsidTr="003D1995" w14:paraId="7AE7D5E6" w14:textId="77777777">
        <w:tblPrEx>
          <w:tblCellMar>
            <w:left w:w="108" w:type="dxa"/>
            <w:right w:w="108" w:type="dxa"/>
          </w:tblCellMar>
        </w:tblPrEx>
        <w:trPr>
          <w:trHeight w:val="215"/>
        </w:trPr>
        <w:tc>
          <w:tcPr>
            <w:tcW w:w="709" w:type="dxa"/>
          </w:tcPr>
          <w:p w:rsidR="00AD3D92" w:rsidP="003D1995" w:rsidRDefault="00AD3D92" w14:paraId="596B6791" w14:textId="77777777">
            <w:pPr>
              <w:rPr>
                <w:rFonts w:cs="Dresdner Bank AG"/>
                <w:bCs/>
                <w:color w:val="365F91"/>
                <w:szCs w:val="20"/>
              </w:rPr>
            </w:pPr>
            <w:r>
              <w:rPr>
                <w:rFonts w:cs="Dresdner Bank AG"/>
                <w:bCs/>
                <w:color w:val="365F91"/>
                <w:szCs w:val="20"/>
              </w:rPr>
              <w:t>5</w:t>
            </w:r>
          </w:p>
        </w:tc>
        <w:tc>
          <w:tcPr>
            <w:tcW w:w="2986" w:type="dxa"/>
          </w:tcPr>
          <w:p w:rsidRPr="004567CE" w:rsidR="00AD3D92" w:rsidP="003D1995" w:rsidRDefault="00AD3D92" w14:paraId="087107FC" w14:textId="77777777">
            <w:pPr>
              <w:rPr>
                <w:rFonts w:cs="Dresdner Bank AG"/>
                <w:b/>
                <w:bCs/>
                <w:color w:val="365F91"/>
                <w:szCs w:val="20"/>
              </w:rPr>
            </w:pPr>
            <w:r>
              <w:rPr>
                <w:rFonts w:cs="Dresdner Bank AG"/>
                <w:bCs/>
                <w:color w:val="365F91"/>
                <w:szCs w:val="20"/>
              </w:rPr>
              <w:t>Taiwan</w:t>
            </w:r>
          </w:p>
        </w:tc>
        <w:tc>
          <w:tcPr>
            <w:tcW w:w="1667" w:type="dxa"/>
          </w:tcPr>
          <w:p w:rsidRPr="004567CE" w:rsidR="00AD3D92" w:rsidP="003D1995" w:rsidRDefault="00AD3D92" w14:paraId="734C0E02" w14:textId="77777777">
            <w:pPr>
              <w:jc w:val="center"/>
              <w:rPr>
                <w:rFonts w:cs="Dresdner Bank AG"/>
                <w:color w:val="365F91"/>
                <w:szCs w:val="20"/>
              </w:rPr>
            </w:pPr>
            <w:r w:rsidRPr="004A3255">
              <w:rPr>
                <w:rFonts w:cs="Dresdner Bank AG"/>
                <w:color w:val="365F91"/>
                <w:szCs w:val="20"/>
                <w:lang w:val="en-US"/>
              </w:rPr>
              <w:t>1</w:t>
            </w:r>
            <w:r>
              <w:rPr>
                <w:rFonts w:cs="Dresdner Bank AG"/>
                <w:color w:val="365F91"/>
                <w:szCs w:val="20"/>
                <w:lang w:val="en-US"/>
              </w:rPr>
              <w:t>41</w:t>
            </w:r>
            <w:r w:rsidRPr="004A3255">
              <w:rPr>
                <w:rFonts w:cs="Dresdner Bank AG"/>
                <w:color w:val="365F91"/>
                <w:szCs w:val="20"/>
                <w:lang w:val="en-US"/>
              </w:rPr>
              <w:t>,</w:t>
            </w:r>
            <w:r>
              <w:rPr>
                <w:rFonts w:cs="Dresdner Bank AG"/>
                <w:color w:val="365F91"/>
                <w:szCs w:val="20"/>
                <w:lang w:val="en-US"/>
              </w:rPr>
              <w:t>600</w:t>
            </w:r>
          </w:p>
        </w:tc>
        <w:tc>
          <w:tcPr>
            <w:tcW w:w="1832" w:type="dxa"/>
          </w:tcPr>
          <w:p w:rsidRPr="004567CE" w:rsidR="00AD3D92" w:rsidP="003D1995" w:rsidRDefault="00AD3D92" w14:paraId="47C25D29" w14:textId="77777777">
            <w:pPr>
              <w:jc w:val="center"/>
              <w:rPr>
                <w:rFonts w:cs="Dresdner Bank AG"/>
                <w:color w:val="365F91"/>
                <w:szCs w:val="20"/>
              </w:rPr>
            </w:pPr>
            <w:r>
              <w:rPr>
                <w:rFonts w:cs="Dresdner Bank AG"/>
                <w:color w:val="365F91"/>
                <w:szCs w:val="20"/>
              </w:rPr>
              <w:t>+3.1</w:t>
            </w:r>
          </w:p>
        </w:tc>
        <w:tc>
          <w:tcPr>
            <w:tcW w:w="1832" w:type="dxa"/>
          </w:tcPr>
          <w:p w:rsidRPr="004567CE" w:rsidR="00AD3D92" w:rsidP="003D1995" w:rsidRDefault="00AD3D92" w14:paraId="067CC03F" w14:textId="77777777">
            <w:pPr>
              <w:jc w:val="center"/>
              <w:rPr>
                <w:rFonts w:cs="Dresdner Bank AG"/>
                <w:color w:val="365F91"/>
                <w:szCs w:val="20"/>
              </w:rPr>
            </w:pPr>
            <w:r>
              <w:rPr>
                <w:rFonts w:cs="Dresdner Bank AG"/>
                <w:color w:val="365F91"/>
                <w:szCs w:val="20"/>
              </w:rPr>
              <w:t>10</w:t>
            </w:r>
          </w:p>
        </w:tc>
      </w:tr>
      <w:tr w:rsidRPr="001366AF" w:rsidR="00AD3D92" w:rsidTr="003D1995" w14:paraId="1253BEC3" w14:textId="77777777">
        <w:tblPrEx>
          <w:tblCellMar>
            <w:left w:w="108" w:type="dxa"/>
            <w:right w:w="108" w:type="dxa"/>
          </w:tblCellMar>
        </w:tblPrEx>
        <w:trPr>
          <w:trHeight w:val="215"/>
        </w:trPr>
        <w:tc>
          <w:tcPr>
            <w:tcW w:w="709" w:type="dxa"/>
          </w:tcPr>
          <w:p w:rsidRPr="004A3255" w:rsidR="00AD3D92" w:rsidP="003D1995" w:rsidRDefault="00AD3D92" w14:paraId="2B05CE6B" w14:textId="77777777">
            <w:pPr>
              <w:rPr>
                <w:rFonts w:cs="Dresdner Bank AG"/>
                <w:bCs/>
                <w:iCs/>
                <w:color w:val="365F91"/>
                <w:szCs w:val="20"/>
              </w:rPr>
            </w:pPr>
            <w:r>
              <w:rPr>
                <w:rFonts w:cs="Dresdner Bank AG"/>
                <w:bCs/>
                <w:iCs/>
                <w:color w:val="365F91"/>
                <w:szCs w:val="20"/>
              </w:rPr>
              <w:t>6</w:t>
            </w:r>
          </w:p>
        </w:tc>
        <w:tc>
          <w:tcPr>
            <w:tcW w:w="2986" w:type="dxa"/>
          </w:tcPr>
          <w:p w:rsidRPr="004A3255" w:rsidR="00AD3D92" w:rsidP="003D1995" w:rsidRDefault="00AD3D92" w14:paraId="18CCAE13" w14:textId="77777777">
            <w:pPr>
              <w:rPr>
                <w:rFonts w:cs="Dresdner Bank AG"/>
                <w:b/>
                <w:bCs/>
                <w:iCs/>
                <w:color w:val="365F91"/>
                <w:szCs w:val="20"/>
              </w:rPr>
            </w:pPr>
            <w:r>
              <w:rPr>
                <w:rFonts w:cs="Dresdner Bank AG"/>
                <w:bCs/>
                <w:iCs/>
                <w:color w:val="365F91"/>
                <w:szCs w:val="20"/>
              </w:rPr>
              <w:t>New Zealand</w:t>
            </w:r>
          </w:p>
        </w:tc>
        <w:tc>
          <w:tcPr>
            <w:tcW w:w="1667" w:type="dxa"/>
          </w:tcPr>
          <w:p w:rsidRPr="004A3255" w:rsidR="00AD3D92" w:rsidP="003D1995" w:rsidRDefault="00AD3D92" w14:paraId="7F3EC226" w14:textId="77777777">
            <w:pPr>
              <w:jc w:val="center"/>
              <w:rPr>
                <w:rFonts w:cs="Dresdner Bank AG"/>
                <w:iCs/>
                <w:color w:val="365F91"/>
                <w:szCs w:val="20"/>
              </w:rPr>
            </w:pPr>
            <w:r w:rsidRPr="004A3255">
              <w:rPr>
                <w:rFonts w:cs="Dresdner Bank AG"/>
                <w:color w:val="365F91"/>
                <w:szCs w:val="20"/>
                <w:lang w:val="en-US"/>
              </w:rPr>
              <w:t>1</w:t>
            </w:r>
            <w:r>
              <w:rPr>
                <w:rFonts w:cs="Dresdner Bank AG"/>
                <w:color w:val="365F91"/>
                <w:szCs w:val="20"/>
                <w:lang w:val="en-US"/>
              </w:rPr>
              <w:t>17,760</w:t>
            </w:r>
          </w:p>
        </w:tc>
        <w:tc>
          <w:tcPr>
            <w:tcW w:w="1832" w:type="dxa"/>
          </w:tcPr>
          <w:p w:rsidRPr="004A3255" w:rsidR="00AD3D92" w:rsidP="003D1995" w:rsidRDefault="00AD3D92" w14:paraId="25AB354D" w14:textId="77777777">
            <w:pPr>
              <w:jc w:val="center"/>
              <w:rPr>
                <w:rFonts w:cs="Dresdner Bank AG"/>
                <w:iCs/>
                <w:color w:val="365F91"/>
                <w:szCs w:val="20"/>
              </w:rPr>
            </w:pPr>
            <w:r>
              <w:rPr>
                <w:rFonts w:cs="Dresdner Bank AG"/>
                <w:iCs/>
                <w:color w:val="365F91"/>
                <w:szCs w:val="20"/>
              </w:rPr>
              <w:t>-7.6</w:t>
            </w:r>
          </w:p>
        </w:tc>
        <w:tc>
          <w:tcPr>
            <w:tcW w:w="1832" w:type="dxa"/>
          </w:tcPr>
          <w:p w:rsidRPr="004A3255" w:rsidR="00AD3D92" w:rsidP="003D1995" w:rsidRDefault="00AD3D92" w14:paraId="34288A70" w14:textId="77777777">
            <w:pPr>
              <w:jc w:val="center"/>
              <w:rPr>
                <w:rFonts w:cs="Dresdner Bank AG"/>
                <w:iCs/>
                <w:color w:val="365F91"/>
                <w:szCs w:val="20"/>
              </w:rPr>
            </w:pPr>
            <w:r>
              <w:rPr>
                <w:rFonts w:cs="Dresdner Bank AG"/>
                <w:iCs/>
                <w:color w:val="365F91"/>
                <w:szCs w:val="20"/>
              </w:rPr>
              <w:t>6</w:t>
            </w:r>
          </w:p>
        </w:tc>
      </w:tr>
      <w:tr w:rsidRPr="001366AF" w:rsidR="00AD3D92" w:rsidTr="003D1995" w14:paraId="2E99DD47" w14:textId="77777777">
        <w:tblPrEx>
          <w:tblCellMar>
            <w:left w:w="108" w:type="dxa"/>
            <w:right w:w="108" w:type="dxa"/>
          </w:tblCellMar>
        </w:tblPrEx>
        <w:trPr>
          <w:trHeight w:val="215"/>
        </w:trPr>
        <w:tc>
          <w:tcPr>
            <w:tcW w:w="709" w:type="dxa"/>
          </w:tcPr>
          <w:p w:rsidR="00AD3D92" w:rsidP="003D1995" w:rsidRDefault="00AD3D92" w14:paraId="31C9EAAD" w14:textId="77777777">
            <w:pPr>
              <w:rPr>
                <w:rFonts w:cs="Dresdner Bank AG"/>
                <w:bCs/>
                <w:color w:val="365F91"/>
                <w:szCs w:val="20"/>
              </w:rPr>
            </w:pPr>
            <w:r>
              <w:rPr>
                <w:rFonts w:cs="Dresdner Bank AG"/>
                <w:bCs/>
                <w:color w:val="365F91"/>
                <w:szCs w:val="20"/>
              </w:rPr>
              <w:t>7</w:t>
            </w:r>
          </w:p>
        </w:tc>
        <w:tc>
          <w:tcPr>
            <w:tcW w:w="2986" w:type="dxa"/>
          </w:tcPr>
          <w:p w:rsidRPr="004567CE" w:rsidR="00AD3D92" w:rsidP="003D1995" w:rsidRDefault="00AD3D92" w14:paraId="2A3CAC4A" w14:textId="77777777">
            <w:pPr>
              <w:rPr>
                <w:rFonts w:cs="Dresdner Bank AG"/>
                <w:b/>
                <w:bCs/>
                <w:color w:val="365F91"/>
                <w:szCs w:val="20"/>
              </w:rPr>
            </w:pPr>
            <w:r>
              <w:rPr>
                <w:rFonts w:cs="Dresdner Bank AG"/>
                <w:bCs/>
                <w:color w:val="365F91"/>
                <w:szCs w:val="20"/>
              </w:rPr>
              <w:t>Canada</w:t>
            </w:r>
          </w:p>
        </w:tc>
        <w:tc>
          <w:tcPr>
            <w:tcW w:w="1667" w:type="dxa"/>
          </w:tcPr>
          <w:p w:rsidRPr="004567CE" w:rsidR="00AD3D92" w:rsidP="003D1995" w:rsidRDefault="00AD3D92" w14:paraId="74AA6A9F" w14:textId="77777777">
            <w:pPr>
              <w:jc w:val="center"/>
              <w:rPr>
                <w:rFonts w:cs="Dresdner Bank AG"/>
                <w:color w:val="365F91"/>
                <w:szCs w:val="20"/>
              </w:rPr>
            </w:pPr>
            <w:r w:rsidRPr="004A3255">
              <w:rPr>
                <w:rFonts w:cs="Dresdner Bank AG"/>
                <w:color w:val="365F91"/>
                <w:szCs w:val="20"/>
                <w:lang w:val="en-US"/>
              </w:rPr>
              <w:t>1</w:t>
            </w:r>
            <w:r>
              <w:rPr>
                <w:rFonts w:cs="Dresdner Bank AG"/>
                <w:color w:val="365F91"/>
                <w:szCs w:val="20"/>
                <w:lang w:val="en-US"/>
              </w:rPr>
              <w:t>17,450</w:t>
            </w:r>
          </w:p>
        </w:tc>
        <w:tc>
          <w:tcPr>
            <w:tcW w:w="1832" w:type="dxa"/>
          </w:tcPr>
          <w:p w:rsidRPr="004567CE" w:rsidR="00AD3D92" w:rsidP="003D1995" w:rsidRDefault="00AD3D92" w14:paraId="48C94A80" w14:textId="77777777">
            <w:pPr>
              <w:jc w:val="center"/>
              <w:rPr>
                <w:rFonts w:cs="Dresdner Bank AG"/>
                <w:color w:val="365F91"/>
                <w:szCs w:val="20"/>
              </w:rPr>
            </w:pPr>
            <w:r>
              <w:rPr>
                <w:rFonts w:cs="Dresdner Bank AG"/>
                <w:color w:val="365F91"/>
                <w:szCs w:val="20"/>
              </w:rPr>
              <w:t>-5.7</w:t>
            </w:r>
          </w:p>
        </w:tc>
        <w:tc>
          <w:tcPr>
            <w:tcW w:w="1832" w:type="dxa"/>
          </w:tcPr>
          <w:p w:rsidRPr="004567CE" w:rsidR="00AD3D92" w:rsidP="003D1995" w:rsidRDefault="00AD3D92" w14:paraId="6D3BEA56" w14:textId="77777777">
            <w:pPr>
              <w:jc w:val="center"/>
              <w:rPr>
                <w:rFonts w:cs="Dresdner Bank AG"/>
                <w:color w:val="365F91"/>
                <w:szCs w:val="20"/>
              </w:rPr>
            </w:pPr>
            <w:r>
              <w:rPr>
                <w:rFonts w:cs="Dresdner Bank AG"/>
                <w:color w:val="365F91"/>
                <w:szCs w:val="20"/>
              </w:rPr>
              <w:t>9</w:t>
            </w:r>
          </w:p>
        </w:tc>
      </w:tr>
      <w:tr w:rsidRPr="001366AF" w:rsidR="00AD3D92" w:rsidTr="003D1995" w14:paraId="7A2F9191" w14:textId="77777777">
        <w:tblPrEx>
          <w:tblCellMar>
            <w:left w:w="108" w:type="dxa"/>
            <w:right w:w="108" w:type="dxa"/>
          </w:tblCellMar>
        </w:tblPrEx>
        <w:trPr>
          <w:trHeight w:val="215"/>
        </w:trPr>
        <w:tc>
          <w:tcPr>
            <w:tcW w:w="709" w:type="dxa"/>
          </w:tcPr>
          <w:p w:rsidRPr="004A3255" w:rsidR="00AD3D92" w:rsidP="003D1995" w:rsidRDefault="00AD3D92" w14:paraId="5FCAC655" w14:textId="77777777">
            <w:pPr>
              <w:rPr>
                <w:rFonts w:cs="Dresdner Bank AG"/>
                <w:bCs/>
                <w:color w:val="365F91"/>
                <w:szCs w:val="20"/>
              </w:rPr>
            </w:pPr>
            <w:r>
              <w:rPr>
                <w:rFonts w:cs="Dresdner Bank AG"/>
                <w:bCs/>
                <w:color w:val="365F91"/>
                <w:szCs w:val="20"/>
              </w:rPr>
              <w:t>8</w:t>
            </w:r>
          </w:p>
        </w:tc>
        <w:tc>
          <w:tcPr>
            <w:tcW w:w="2986" w:type="dxa"/>
          </w:tcPr>
          <w:p w:rsidRPr="004A3255" w:rsidR="00AD3D92" w:rsidP="003D1995" w:rsidRDefault="00AD3D92" w14:paraId="0127870B" w14:textId="77777777">
            <w:pPr>
              <w:rPr>
                <w:rFonts w:cs="Dresdner Bank AG"/>
                <w:bCs/>
                <w:color w:val="365F91"/>
                <w:szCs w:val="20"/>
              </w:rPr>
            </w:pPr>
            <w:r>
              <w:rPr>
                <w:rFonts w:cs="Dresdner Bank AG"/>
                <w:bCs/>
                <w:color w:val="365F91"/>
                <w:szCs w:val="20"/>
              </w:rPr>
              <w:t>Sweden</w:t>
            </w:r>
          </w:p>
        </w:tc>
        <w:tc>
          <w:tcPr>
            <w:tcW w:w="1667" w:type="dxa"/>
          </w:tcPr>
          <w:p w:rsidRPr="004A3255" w:rsidR="00AD3D92" w:rsidP="003D1995" w:rsidRDefault="00AD3D92" w14:paraId="64747481" w14:textId="77777777">
            <w:pPr>
              <w:jc w:val="center"/>
              <w:rPr>
                <w:rFonts w:cs="Dresdner Bank AG"/>
                <w:bCs/>
                <w:color w:val="365F91"/>
                <w:szCs w:val="20"/>
              </w:rPr>
            </w:pPr>
            <w:r>
              <w:rPr>
                <w:rFonts w:cs="Dresdner Bank AG"/>
                <w:color w:val="365F91"/>
                <w:szCs w:val="20"/>
                <w:lang w:val="en-US"/>
              </w:rPr>
              <w:t>116,060</w:t>
            </w:r>
          </w:p>
        </w:tc>
        <w:tc>
          <w:tcPr>
            <w:tcW w:w="1832" w:type="dxa"/>
          </w:tcPr>
          <w:p w:rsidRPr="004A3255" w:rsidR="00AD3D92" w:rsidP="003D1995" w:rsidRDefault="00AD3D92" w14:paraId="62A66BF4" w14:textId="77777777">
            <w:pPr>
              <w:jc w:val="center"/>
              <w:rPr>
                <w:rFonts w:cs="Dresdner Bank AG"/>
                <w:bCs/>
                <w:color w:val="365F91"/>
                <w:szCs w:val="20"/>
              </w:rPr>
            </w:pPr>
            <w:r w:rsidRPr="005A251C">
              <w:rPr>
                <w:rFonts w:cs="Dresdner Bank AG"/>
                <w:color w:val="365F91"/>
                <w:szCs w:val="20"/>
                <w:lang w:val="en-US"/>
              </w:rPr>
              <w:t>-</w:t>
            </w:r>
            <w:r>
              <w:rPr>
                <w:rFonts w:cs="Dresdner Bank AG"/>
                <w:color w:val="365F91"/>
                <w:szCs w:val="20"/>
                <w:lang w:val="en-US"/>
              </w:rPr>
              <w:t>13.2</w:t>
            </w:r>
          </w:p>
        </w:tc>
        <w:tc>
          <w:tcPr>
            <w:tcW w:w="1832" w:type="dxa"/>
          </w:tcPr>
          <w:p w:rsidRPr="004A3255" w:rsidR="00AD3D92" w:rsidP="003D1995" w:rsidRDefault="00AD3D92" w14:paraId="258854F2" w14:textId="77777777">
            <w:pPr>
              <w:jc w:val="center"/>
              <w:rPr>
                <w:rFonts w:cs="Dresdner Bank AG"/>
                <w:bCs/>
                <w:color w:val="365F91"/>
                <w:szCs w:val="20"/>
              </w:rPr>
            </w:pPr>
            <w:r>
              <w:rPr>
                <w:rFonts w:cs="Dresdner Bank AG"/>
                <w:bCs/>
                <w:color w:val="365F91"/>
                <w:szCs w:val="20"/>
              </w:rPr>
              <w:t>15</w:t>
            </w:r>
          </w:p>
        </w:tc>
      </w:tr>
      <w:tr w:rsidRPr="001366AF" w:rsidR="00AD3D92" w:rsidTr="003D1995" w14:paraId="56EB3178" w14:textId="77777777">
        <w:tblPrEx>
          <w:tblCellMar>
            <w:left w:w="108" w:type="dxa"/>
            <w:right w:w="108" w:type="dxa"/>
          </w:tblCellMar>
        </w:tblPrEx>
        <w:trPr>
          <w:trHeight w:val="215"/>
        </w:trPr>
        <w:tc>
          <w:tcPr>
            <w:tcW w:w="709" w:type="dxa"/>
          </w:tcPr>
          <w:p w:rsidR="00AD3D92" w:rsidP="003D1995" w:rsidRDefault="00AD3D92" w14:paraId="0DF056B9" w14:textId="77777777">
            <w:pPr>
              <w:rPr>
                <w:rFonts w:cs="Dresdner Bank AG"/>
                <w:bCs/>
                <w:color w:val="365F91"/>
                <w:szCs w:val="20"/>
              </w:rPr>
            </w:pPr>
            <w:r>
              <w:rPr>
                <w:rFonts w:cs="Dresdner Bank AG"/>
                <w:bCs/>
                <w:color w:val="365F91"/>
                <w:szCs w:val="20"/>
              </w:rPr>
              <w:t>9</w:t>
            </w:r>
          </w:p>
        </w:tc>
        <w:tc>
          <w:tcPr>
            <w:tcW w:w="2986" w:type="dxa"/>
          </w:tcPr>
          <w:p w:rsidRPr="004A3255" w:rsidR="00AD3D92" w:rsidP="003D1995" w:rsidRDefault="00AD3D92" w14:paraId="583BB22D" w14:textId="77777777">
            <w:pPr>
              <w:rPr>
                <w:rFonts w:cs="Dresdner Bank AG"/>
                <w:bCs/>
                <w:color w:val="365F91"/>
                <w:szCs w:val="20"/>
              </w:rPr>
            </w:pPr>
            <w:r>
              <w:rPr>
                <w:rFonts w:cs="Dresdner Bank AG"/>
                <w:bCs/>
                <w:color w:val="365F91"/>
                <w:szCs w:val="20"/>
              </w:rPr>
              <w:t>Netherlands</w:t>
            </w:r>
          </w:p>
        </w:tc>
        <w:tc>
          <w:tcPr>
            <w:tcW w:w="1667" w:type="dxa"/>
          </w:tcPr>
          <w:p w:rsidRPr="004A3255" w:rsidR="00AD3D92" w:rsidP="003D1995" w:rsidRDefault="00AD3D92" w14:paraId="052F4051" w14:textId="77777777">
            <w:pPr>
              <w:jc w:val="center"/>
              <w:rPr>
                <w:rFonts w:cs="Dresdner Bank AG"/>
                <w:bCs/>
                <w:color w:val="365F91"/>
                <w:szCs w:val="20"/>
              </w:rPr>
            </w:pPr>
            <w:r w:rsidRPr="004A3255">
              <w:rPr>
                <w:rFonts w:cs="Dresdner Bank AG"/>
                <w:color w:val="365F91"/>
                <w:szCs w:val="20"/>
                <w:lang w:val="en-US"/>
              </w:rPr>
              <w:t>1</w:t>
            </w:r>
            <w:r>
              <w:rPr>
                <w:rFonts w:cs="Dresdner Bank AG"/>
                <w:color w:val="365F91"/>
                <w:szCs w:val="20"/>
                <w:lang w:val="en-US"/>
              </w:rPr>
              <w:t>03,120</w:t>
            </w:r>
          </w:p>
        </w:tc>
        <w:tc>
          <w:tcPr>
            <w:tcW w:w="1832" w:type="dxa"/>
          </w:tcPr>
          <w:p w:rsidRPr="004A3255" w:rsidR="00AD3D92" w:rsidP="003D1995" w:rsidRDefault="00AD3D92" w14:paraId="00C32059" w14:textId="77777777">
            <w:pPr>
              <w:jc w:val="center"/>
              <w:rPr>
                <w:rFonts w:cs="Dresdner Bank AG"/>
                <w:bCs/>
                <w:color w:val="365F91"/>
                <w:szCs w:val="20"/>
              </w:rPr>
            </w:pPr>
            <w:r>
              <w:rPr>
                <w:rFonts w:cs="Dresdner Bank AG"/>
                <w:bCs/>
                <w:color w:val="365F91"/>
                <w:szCs w:val="20"/>
              </w:rPr>
              <w:t>-18.1</w:t>
            </w:r>
          </w:p>
        </w:tc>
        <w:tc>
          <w:tcPr>
            <w:tcW w:w="1832" w:type="dxa"/>
          </w:tcPr>
          <w:p w:rsidRPr="004A3255" w:rsidR="00AD3D92" w:rsidP="003D1995" w:rsidRDefault="00AD3D92" w14:paraId="58BC9D4B" w14:textId="77777777">
            <w:pPr>
              <w:jc w:val="center"/>
              <w:rPr>
                <w:rFonts w:cs="Dresdner Bank AG"/>
                <w:bCs/>
                <w:color w:val="365F91"/>
                <w:szCs w:val="20"/>
              </w:rPr>
            </w:pPr>
            <w:r>
              <w:rPr>
                <w:rFonts w:cs="Dresdner Bank AG"/>
                <w:bCs/>
                <w:color w:val="365F91"/>
                <w:szCs w:val="20"/>
              </w:rPr>
              <w:t>7</w:t>
            </w:r>
          </w:p>
        </w:tc>
      </w:tr>
      <w:tr w:rsidRPr="001366AF" w:rsidR="00AD3D92" w:rsidTr="003D1995" w14:paraId="247B94CE" w14:textId="77777777">
        <w:tblPrEx>
          <w:tblCellMar>
            <w:left w:w="108" w:type="dxa"/>
            <w:right w:w="108" w:type="dxa"/>
          </w:tblCellMar>
        </w:tblPrEx>
        <w:trPr>
          <w:trHeight w:val="215"/>
        </w:trPr>
        <w:tc>
          <w:tcPr>
            <w:tcW w:w="709" w:type="dxa"/>
          </w:tcPr>
          <w:p w:rsidR="00AD3D92" w:rsidP="003D1995" w:rsidRDefault="00AD3D92" w14:paraId="17D5AB21" w14:textId="77777777">
            <w:pPr>
              <w:rPr>
                <w:rFonts w:cs="Dresdner Bank AG"/>
                <w:bCs/>
                <w:color w:val="365F91"/>
                <w:szCs w:val="20"/>
              </w:rPr>
            </w:pPr>
            <w:r>
              <w:rPr>
                <w:rFonts w:cs="Dresdner Bank AG"/>
                <w:bCs/>
                <w:color w:val="365F91"/>
                <w:szCs w:val="20"/>
              </w:rPr>
              <w:t>10</w:t>
            </w:r>
          </w:p>
        </w:tc>
        <w:tc>
          <w:tcPr>
            <w:tcW w:w="2986" w:type="dxa"/>
          </w:tcPr>
          <w:p w:rsidR="00AD3D92" w:rsidP="003D1995" w:rsidRDefault="00AD3D92" w14:paraId="7B12BEFE" w14:textId="77777777">
            <w:pPr>
              <w:rPr>
                <w:rFonts w:cs="Dresdner Bank AG"/>
                <w:bCs/>
                <w:color w:val="365F91"/>
                <w:szCs w:val="20"/>
              </w:rPr>
            </w:pPr>
            <w:r>
              <w:rPr>
                <w:rFonts w:cs="Dresdner Bank AG"/>
                <w:bCs/>
                <w:color w:val="365F91"/>
                <w:szCs w:val="20"/>
              </w:rPr>
              <w:t>Belgium</w:t>
            </w:r>
          </w:p>
        </w:tc>
        <w:tc>
          <w:tcPr>
            <w:tcW w:w="1667" w:type="dxa"/>
          </w:tcPr>
          <w:p w:rsidRPr="004A3255" w:rsidR="00AD3D92" w:rsidP="003D1995" w:rsidRDefault="00AD3D92" w14:paraId="19360459" w14:textId="77777777">
            <w:pPr>
              <w:jc w:val="center"/>
              <w:rPr>
                <w:rFonts w:cs="Dresdner Bank AG"/>
                <w:bCs/>
                <w:color w:val="365F91"/>
                <w:szCs w:val="20"/>
              </w:rPr>
            </w:pPr>
            <w:r>
              <w:rPr>
                <w:rFonts w:cs="Dresdner Bank AG"/>
                <w:bCs/>
                <w:color w:val="365F91"/>
                <w:szCs w:val="20"/>
              </w:rPr>
              <w:t>97,790</w:t>
            </w:r>
          </w:p>
        </w:tc>
        <w:tc>
          <w:tcPr>
            <w:tcW w:w="1832" w:type="dxa"/>
          </w:tcPr>
          <w:p w:rsidRPr="004A3255" w:rsidR="00AD3D92" w:rsidP="003D1995" w:rsidRDefault="00AD3D92" w14:paraId="4851775D" w14:textId="77777777">
            <w:pPr>
              <w:jc w:val="center"/>
              <w:rPr>
                <w:rFonts w:cs="Dresdner Bank AG"/>
                <w:bCs/>
                <w:color w:val="365F91"/>
                <w:szCs w:val="20"/>
              </w:rPr>
            </w:pPr>
            <w:r>
              <w:rPr>
                <w:rFonts w:cs="Dresdner Bank AG"/>
                <w:bCs/>
                <w:color w:val="365F91"/>
                <w:szCs w:val="20"/>
              </w:rPr>
              <w:t>-7.7</w:t>
            </w:r>
          </w:p>
        </w:tc>
        <w:tc>
          <w:tcPr>
            <w:tcW w:w="1832" w:type="dxa"/>
          </w:tcPr>
          <w:p w:rsidRPr="004A3255" w:rsidR="00AD3D92" w:rsidP="003D1995" w:rsidRDefault="00AD3D92" w14:paraId="785D0AFD" w14:textId="77777777">
            <w:pPr>
              <w:jc w:val="center"/>
              <w:rPr>
                <w:rFonts w:cs="Dresdner Bank AG"/>
                <w:bCs/>
                <w:color w:val="365F91"/>
                <w:szCs w:val="20"/>
              </w:rPr>
            </w:pPr>
            <w:r>
              <w:rPr>
                <w:rFonts w:cs="Dresdner Bank AG"/>
                <w:bCs/>
                <w:color w:val="365F91"/>
                <w:szCs w:val="20"/>
              </w:rPr>
              <w:t>3</w:t>
            </w:r>
          </w:p>
        </w:tc>
      </w:tr>
      <w:tr w:rsidRPr="001366AF" w:rsidR="00AD3D92" w:rsidTr="003D1995" w14:paraId="12999BFB" w14:textId="77777777">
        <w:tblPrEx>
          <w:tblCellMar>
            <w:left w:w="108" w:type="dxa"/>
            <w:right w:w="108" w:type="dxa"/>
          </w:tblCellMar>
        </w:tblPrEx>
        <w:trPr>
          <w:trHeight w:val="215"/>
        </w:trPr>
        <w:tc>
          <w:tcPr>
            <w:tcW w:w="709" w:type="dxa"/>
          </w:tcPr>
          <w:p w:rsidR="00AD3D92" w:rsidP="003D1995" w:rsidRDefault="00AD3D92" w14:paraId="34087748" w14:textId="77777777">
            <w:pPr>
              <w:rPr>
                <w:rFonts w:cs="Dresdner Bank AG"/>
                <w:bCs/>
                <w:color w:val="365F91"/>
                <w:szCs w:val="20"/>
              </w:rPr>
            </w:pPr>
            <w:r>
              <w:rPr>
                <w:rFonts w:cs="Dresdner Bank AG"/>
                <w:bCs/>
                <w:color w:val="365F91"/>
                <w:szCs w:val="20"/>
              </w:rPr>
              <w:t>11</w:t>
            </w:r>
          </w:p>
        </w:tc>
        <w:tc>
          <w:tcPr>
            <w:tcW w:w="2986" w:type="dxa"/>
          </w:tcPr>
          <w:p w:rsidR="00AD3D92" w:rsidP="003D1995" w:rsidRDefault="00AD3D92" w14:paraId="43D4D3D5" w14:textId="77777777">
            <w:pPr>
              <w:rPr>
                <w:rFonts w:cs="Dresdner Bank AG"/>
                <w:bCs/>
                <w:color w:val="365F91"/>
                <w:szCs w:val="20"/>
              </w:rPr>
            </w:pPr>
            <w:r>
              <w:rPr>
                <w:rFonts w:cs="Dresdner Bank AG"/>
                <w:bCs/>
                <w:color w:val="365F91"/>
                <w:szCs w:val="20"/>
              </w:rPr>
              <w:t>Japan</w:t>
            </w:r>
          </w:p>
        </w:tc>
        <w:tc>
          <w:tcPr>
            <w:tcW w:w="1667" w:type="dxa"/>
          </w:tcPr>
          <w:p w:rsidRPr="004A3255" w:rsidR="00AD3D92" w:rsidP="003D1995" w:rsidRDefault="00AD3D92" w14:paraId="56CF6194" w14:textId="77777777">
            <w:pPr>
              <w:jc w:val="center"/>
              <w:rPr>
                <w:rFonts w:cs="Dresdner Bank AG"/>
                <w:bCs/>
                <w:color w:val="365F91"/>
                <w:szCs w:val="20"/>
              </w:rPr>
            </w:pPr>
            <w:r>
              <w:rPr>
                <w:rFonts w:cs="Dresdner Bank AG"/>
                <w:bCs/>
                <w:color w:val="365F91"/>
                <w:szCs w:val="20"/>
              </w:rPr>
              <w:t>96,500</w:t>
            </w:r>
          </w:p>
        </w:tc>
        <w:tc>
          <w:tcPr>
            <w:tcW w:w="1832" w:type="dxa"/>
          </w:tcPr>
          <w:p w:rsidRPr="004A3255" w:rsidR="00AD3D92" w:rsidP="003D1995" w:rsidRDefault="00AD3D92" w14:paraId="6CDF4461" w14:textId="77777777">
            <w:pPr>
              <w:jc w:val="center"/>
              <w:rPr>
                <w:rFonts w:cs="Dresdner Bank AG"/>
                <w:bCs/>
                <w:color w:val="365F91"/>
                <w:szCs w:val="20"/>
              </w:rPr>
            </w:pPr>
            <w:r>
              <w:rPr>
                <w:rFonts w:cs="Dresdner Bank AG"/>
                <w:bCs/>
                <w:color w:val="365F91"/>
                <w:szCs w:val="20"/>
              </w:rPr>
              <w:t>-0.3</w:t>
            </w:r>
          </w:p>
        </w:tc>
        <w:tc>
          <w:tcPr>
            <w:tcW w:w="1832" w:type="dxa"/>
          </w:tcPr>
          <w:p w:rsidRPr="004A3255" w:rsidR="00AD3D92" w:rsidP="003D1995" w:rsidRDefault="00AD3D92" w14:paraId="4C4F205E" w14:textId="77777777">
            <w:pPr>
              <w:jc w:val="center"/>
              <w:rPr>
                <w:rFonts w:cs="Dresdner Bank AG"/>
                <w:bCs/>
                <w:color w:val="365F91"/>
                <w:szCs w:val="20"/>
              </w:rPr>
            </w:pPr>
            <w:r>
              <w:rPr>
                <w:rFonts w:cs="Dresdner Bank AG"/>
                <w:bCs/>
                <w:color w:val="365F91"/>
                <w:szCs w:val="20"/>
              </w:rPr>
              <w:t>4</w:t>
            </w:r>
          </w:p>
        </w:tc>
      </w:tr>
      <w:tr w:rsidRPr="001366AF" w:rsidR="00AD3D92" w:rsidTr="003D1995" w14:paraId="1938C0D1" w14:textId="77777777">
        <w:tblPrEx>
          <w:tblCellMar>
            <w:left w:w="108" w:type="dxa"/>
            <w:right w:w="108" w:type="dxa"/>
          </w:tblCellMar>
        </w:tblPrEx>
        <w:trPr>
          <w:trHeight w:val="215"/>
        </w:trPr>
        <w:tc>
          <w:tcPr>
            <w:tcW w:w="709" w:type="dxa"/>
          </w:tcPr>
          <w:p w:rsidR="00AD3D92" w:rsidP="003D1995" w:rsidRDefault="00AD3D92" w14:paraId="2A0199E4" w14:textId="77777777">
            <w:pPr>
              <w:rPr>
                <w:rFonts w:cs="Dresdner Bank AG"/>
                <w:bCs/>
                <w:color w:val="365F91"/>
                <w:szCs w:val="20"/>
              </w:rPr>
            </w:pPr>
            <w:r>
              <w:rPr>
                <w:rFonts w:cs="Dresdner Bank AG"/>
                <w:bCs/>
                <w:color w:val="365F91"/>
                <w:szCs w:val="20"/>
              </w:rPr>
              <w:t>12</w:t>
            </w:r>
          </w:p>
        </w:tc>
        <w:tc>
          <w:tcPr>
            <w:tcW w:w="2986" w:type="dxa"/>
          </w:tcPr>
          <w:p w:rsidR="00AD3D92" w:rsidP="003D1995" w:rsidRDefault="00AD3D92" w14:paraId="1A799207" w14:textId="77777777">
            <w:pPr>
              <w:rPr>
                <w:rFonts w:cs="Dresdner Bank AG"/>
                <w:bCs/>
                <w:color w:val="365F91"/>
                <w:szCs w:val="20"/>
              </w:rPr>
            </w:pPr>
            <w:r>
              <w:rPr>
                <w:rFonts w:cs="Dresdner Bank AG"/>
                <w:bCs/>
                <w:color w:val="365F91"/>
                <w:szCs w:val="20"/>
              </w:rPr>
              <w:t>Australia</w:t>
            </w:r>
          </w:p>
        </w:tc>
        <w:tc>
          <w:tcPr>
            <w:tcW w:w="1667" w:type="dxa"/>
          </w:tcPr>
          <w:p w:rsidRPr="004A3255" w:rsidR="00AD3D92" w:rsidP="003D1995" w:rsidRDefault="00AD3D92" w14:paraId="44E3D3FC" w14:textId="77777777">
            <w:pPr>
              <w:jc w:val="center"/>
              <w:rPr>
                <w:rFonts w:cs="Dresdner Bank AG"/>
                <w:bCs/>
                <w:color w:val="365F91"/>
                <w:szCs w:val="20"/>
              </w:rPr>
            </w:pPr>
            <w:r>
              <w:rPr>
                <w:rFonts w:cs="Dresdner Bank AG"/>
                <w:bCs/>
                <w:color w:val="365F91"/>
                <w:szCs w:val="20"/>
              </w:rPr>
              <w:t>92,630</w:t>
            </w:r>
          </w:p>
        </w:tc>
        <w:tc>
          <w:tcPr>
            <w:tcW w:w="1832" w:type="dxa"/>
          </w:tcPr>
          <w:p w:rsidRPr="004A3255" w:rsidR="00AD3D92" w:rsidP="003D1995" w:rsidRDefault="00AD3D92" w14:paraId="73484249" w14:textId="77777777">
            <w:pPr>
              <w:jc w:val="center"/>
              <w:rPr>
                <w:rFonts w:cs="Dresdner Bank AG"/>
                <w:bCs/>
                <w:color w:val="365F91"/>
                <w:szCs w:val="20"/>
              </w:rPr>
            </w:pPr>
            <w:r>
              <w:rPr>
                <w:rFonts w:cs="Dresdner Bank AG"/>
                <w:bCs/>
                <w:color w:val="365F91"/>
                <w:szCs w:val="20"/>
              </w:rPr>
              <w:t>-6.1</w:t>
            </w:r>
          </w:p>
        </w:tc>
        <w:tc>
          <w:tcPr>
            <w:tcW w:w="1832" w:type="dxa"/>
          </w:tcPr>
          <w:p w:rsidRPr="004A3255" w:rsidR="00AD3D92" w:rsidP="003D1995" w:rsidRDefault="00AD3D92" w14:paraId="3623DF42" w14:textId="77777777">
            <w:pPr>
              <w:jc w:val="center"/>
              <w:rPr>
                <w:rFonts w:cs="Dresdner Bank AG"/>
                <w:bCs/>
                <w:color w:val="365F91"/>
                <w:szCs w:val="20"/>
              </w:rPr>
            </w:pPr>
            <w:r>
              <w:rPr>
                <w:rFonts w:cs="Dresdner Bank AG"/>
                <w:bCs/>
                <w:color w:val="365F91"/>
                <w:szCs w:val="20"/>
              </w:rPr>
              <w:t>17</w:t>
            </w:r>
          </w:p>
        </w:tc>
      </w:tr>
      <w:tr w:rsidRPr="001366AF" w:rsidR="00AD3D92" w:rsidTr="003D1995" w14:paraId="779CACA7" w14:textId="77777777">
        <w:tblPrEx>
          <w:tblCellMar>
            <w:left w:w="108" w:type="dxa"/>
            <w:right w:w="108" w:type="dxa"/>
          </w:tblCellMar>
        </w:tblPrEx>
        <w:trPr>
          <w:trHeight w:val="215"/>
        </w:trPr>
        <w:tc>
          <w:tcPr>
            <w:tcW w:w="709" w:type="dxa"/>
          </w:tcPr>
          <w:p w:rsidR="00AD3D92" w:rsidP="003D1995" w:rsidRDefault="00AD3D92" w14:paraId="3149E399" w14:textId="77777777">
            <w:pPr>
              <w:rPr>
                <w:rFonts w:cs="Dresdner Bank AG"/>
                <w:bCs/>
                <w:color w:val="365F91"/>
                <w:szCs w:val="20"/>
              </w:rPr>
            </w:pPr>
            <w:r>
              <w:rPr>
                <w:rFonts w:cs="Dresdner Bank AG"/>
                <w:bCs/>
                <w:color w:val="365F91"/>
                <w:szCs w:val="20"/>
              </w:rPr>
              <w:t>13</w:t>
            </w:r>
          </w:p>
        </w:tc>
        <w:tc>
          <w:tcPr>
            <w:tcW w:w="2986" w:type="dxa"/>
          </w:tcPr>
          <w:p w:rsidR="00AD3D92" w:rsidP="003D1995" w:rsidRDefault="00AD3D92" w14:paraId="7AAD3DF8" w14:textId="77777777">
            <w:pPr>
              <w:rPr>
                <w:rFonts w:cs="Dresdner Bank AG"/>
                <w:bCs/>
                <w:color w:val="365F91"/>
                <w:szCs w:val="20"/>
              </w:rPr>
            </w:pPr>
            <w:r>
              <w:rPr>
                <w:rFonts w:cs="Dresdner Bank AG"/>
                <w:bCs/>
                <w:color w:val="365F91"/>
                <w:szCs w:val="20"/>
              </w:rPr>
              <w:t>Israel</w:t>
            </w:r>
          </w:p>
        </w:tc>
        <w:tc>
          <w:tcPr>
            <w:tcW w:w="1667" w:type="dxa"/>
          </w:tcPr>
          <w:p w:rsidRPr="004A3255" w:rsidR="00AD3D92" w:rsidP="003D1995" w:rsidRDefault="00AD3D92" w14:paraId="632F47AE" w14:textId="77777777">
            <w:pPr>
              <w:jc w:val="center"/>
              <w:rPr>
                <w:rFonts w:cs="Dresdner Bank AG"/>
                <w:bCs/>
                <w:color w:val="365F91"/>
                <w:szCs w:val="20"/>
              </w:rPr>
            </w:pPr>
            <w:r>
              <w:rPr>
                <w:rFonts w:cs="Dresdner Bank AG"/>
                <w:bCs/>
                <w:color w:val="365F91"/>
                <w:szCs w:val="20"/>
              </w:rPr>
              <w:t>92,370</w:t>
            </w:r>
          </w:p>
        </w:tc>
        <w:tc>
          <w:tcPr>
            <w:tcW w:w="1832" w:type="dxa"/>
          </w:tcPr>
          <w:p w:rsidRPr="004A3255" w:rsidR="00AD3D92" w:rsidP="003D1995" w:rsidRDefault="00AD3D92" w14:paraId="27DDD054" w14:textId="77777777">
            <w:pPr>
              <w:jc w:val="center"/>
              <w:rPr>
                <w:rFonts w:cs="Dresdner Bank AG"/>
                <w:bCs/>
                <w:color w:val="365F91"/>
                <w:szCs w:val="20"/>
              </w:rPr>
            </w:pPr>
            <w:r>
              <w:rPr>
                <w:rFonts w:cs="Dresdner Bank AG"/>
                <w:bCs/>
                <w:color w:val="365F91"/>
                <w:szCs w:val="20"/>
              </w:rPr>
              <w:t>-3.6</w:t>
            </w:r>
          </w:p>
        </w:tc>
        <w:tc>
          <w:tcPr>
            <w:tcW w:w="1832" w:type="dxa"/>
          </w:tcPr>
          <w:p w:rsidRPr="004A3255" w:rsidR="00AD3D92" w:rsidP="003D1995" w:rsidRDefault="00AD3D92" w14:paraId="038DF27F" w14:textId="77777777">
            <w:pPr>
              <w:jc w:val="center"/>
              <w:rPr>
                <w:rFonts w:cs="Dresdner Bank AG"/>
                <w:bCs/>
                <w:color w:val="365F91"/>
                <w:szCs w:val="20"/>
              </w:rPr>
            </w:pPr>
            <w:r>
              <w:rPr>
                <w:rFonts w:cs="Dresdner Bank AG"/>
                <w:bCs/>
                <w:color w:val="365F91"/>
                <w:szCs w:val="20"/>
              </w:rPr>
              <w:t>13</w:t>
            </w:r>
          </w:p>
        </w:tc>
      </w:tr>
      <w:tr w:rsidRPr="001366AF" w:rsidR="00AD3D92" w:rsidTr="003D1995" w14:paraId="78DE5318" w14:textId="77777777">
        <w:tblPrEx>
          <w:tblCellMar>
            <w:left w:w="108" w:type="dxa"/>
            <w:right w:w="108" w:type="dxa"/>
          </w:tblCellMar>
        </w:tblPrEx>
        <w:trPr>
          <w:trHeight w:val="215"/>
        </w:trPr>
        <w:tc>
          <w:tcPr>
            <w:tcW w:w="709" w:type="dxa"/>
          </w:tcPr>
          <w:p w:rsidR="00AD3D92" w:rsidP="003D1995" w:rsidRDefault="00AD3D92" w14:paraId="50987D8D" w14:textId="77777777">
            <w:pPr>
              <w:rPr>
                <w:rFonts w:cs="Dresdner Bank AG"/>
                <w:bCs/>
                <w:color w:val="365F91"/>
                <w:szCs w:val="20"/>
              </w:rPr>
            </w:pPr>
            <w:r>
              <w:rPr>
                <w:rFonts w:cs="Dresdner Bank AG"/>
                <w:bCs/>
                <w:color w:val="365F91"/>
                <w:szCs w:val="20"/>
              </w:rPr>
              <w:t>14</w:t>
            </w:r>
          </w:p>
        </w:tc>
        <w:tc>
          <w:tcPr>
            <w:tcW w:w="2986" w:type="dxa"/>
          </w:tcPr>
          <w:p w:rsidR="00AD3D92" w:rsidP="003D1995" w:rsidRDefault="00AD3D92" w14:paraId="05155FDF" w14:textId="77777777">
            <w:pPr>
              <w:rPr>
                <w:rFonts w:cs="Dresdner Bank AG"/>
                <w:bCs/>
                <w:color w:val="365F91"/>
                <w:szCs w:val="20"/>
              </w:rPr>
            </w:pPr>
            <w:r>
              <w:rPr>
                <w:rFonts w:cs="Dresdner Bank AG"/>
                <w:bCs/>
                <w:color w:val="365F91"/>
                <w:szCs w:val="20"/>
              </w:rPr>
              <w:t>UK</w:t>
            </w:r>
          </w:p>
        </w:tc>
        <w:tc>
          <w:tcPr>
            <w:tcW w:w="1667" w:type="dxa"/>
          </w:tcPr>
          <w:p w:rsidRPr="004A3255" w:rsidR="00AD3D92" w:rsidP="003D1995" w:rsidRDefault="00AD3D92" w14:paraId="200B92BB" w14:textId="77777777">
            <w:pPr>
              <w:jc w:val="center"/>
              <w:rPr>
                <w:rFonts w:cs="Dresdner Bank AG"/>
                <w:bCs/>
                <w:color w:val="365F91"/>
                <w:szCs w:val="20"/>
              </w:rPr>
            </w:pPr>
            <w:r>
              <w:rPr>
                <w:rFonts w:cs="Dresdner Bank AG"/>
                <w:bCs/>
                <w:color w:val="365F91"/>
                <w:szCs w:val="20"/>
              </w:rPr>
              <w:t>88,380</w:t>
            </w:r>
          </w:p>
        </w:tc>
        <w:tc>
          <w:tcPr>
            <w:tcW w:w="1832" w:type="dxa"/>
          </w:tcPr>
          <w:p w:rsidRPr="004A3255" w:rsidR="00AD3D92" w:rsidP="003D1995" w:rsidRDefault="00AD3D92" w14:paraId="7708C38E" w14:textId="77777777">
            <w:pPr>
              <w:jc w:val="center"/>
              <w:rPr>
                <w:rFonts w:cs="Dresdner Bank AG"/>
                <w:bCs/>
                <w:color w:val="365F91"/>
                <w:szCs w:val="20"/>
              </w:rPr>
            </w:pPr>
            <w:r>
              <w:rPr>
                <w:rFonts w:cs="Dresdner Bank AG"/>
                <w:bCs/>
                <w:color w:val="365F91"/>
                <w:szCs w:val="20"/>
              </w:rPr>
              <w:t>-9.2</w:t>
            </w:r>
          </w:p>
        </w:tc>
        <w:tc>
          <w:tcPr>
            <w:tcW w:w="1832" w:type="dxa"/>
          </w:tcPr>
          <w:p w:rsidRPr="004A3255" w:rsidR="00AD3D92" w:rsidP="003D1995" w:rsidRDefault="00AD3D92" w14:paraId="2643248F" w14:textId="77777777">
            <w:pPr>
              <w:jc w:val="center"/>
              <w:rPr>
                <w:rFonts w:cs="Dresdner Bank AG"/>
                <w:bCs/>
                <w:color w:val="365F91"/>
                <w:szCs w:val="20"/>
              </w:rPr>
            </w:pPr>
            <w:r>
              <w:rPr>
                <w:rFonts w:cs="Dresdner Bank AG"/>
                <w:bCs/>
                <w:color w:val="365F91"/>
                <w:szCs w:val="20"/>
              </w:rPr>
              <w:t>8</w:t>
            </w:r>
          </w:p>
        </w:tc>
      </w:tr>
      <w:tr w:rsidRPr="001366AF" w:rsidR="00AD3D92" w:rsidTr="003D1995" w14:paraId="13EABBCC" w14:textId="77777777">
        <w:tblPrEx>
          <w:tblCellMar>
            <w:left w:w="108" w:type="dxa"/>
            <w:right w:w="108" w:type="dxa"/>
          </w:tblCellMar>
        </w:tblPrEx>
        <w:trPr>
          <w:trHeight w:val="215"/>
        </w:trPr>
        <w:tc>
          <w:tcPr>
            <w:tcW w:w="709" w:type="dxa"/>
          </w:tcPr>
          <w:p w:rsidR="00AD3D92" w:rsidP="003D1995" w:rsidRDefault="00AD3D92" w14:paraId="0426B50F" w14:textId="77777777">
            <w:pPr>
              <w:rPr>
                <w:rFonts w:cs="Dresdner Bank AG"/>
                <w:bCs/>
                <w:color w:val="365F91"/>
                <w:szCs w:val="20"/>
              </w:rPr>
            </w:pPr>
            <w:r>
              <w:rPr>
                <w:rFonts w:cs="Dresdner Bank AG"/>
                <w:bCs/>
                <w:color w:val="365F91"/>
                <w:szCs w:val="20"/>
              </w:rPr>
              <w:t>15</w:t>
            </w:r>
          </w:p>
        </w:tc>
        <w:tc>
          <w:tcPr>
            <w:tcW w:w="2986" w:type="dxa"/>
          </w:tcPr>
          <w:p w:rsidR="00AD3D92" w:rsidP="003D1995" w:rsidRDefault="00AD3D92" w14:paraId="5BFCC54F" w14:textId="77777777">
            <w:pPr>
              <w:rPr>
                <w:rFonts w:cs="Dresdner Bank AG"/>
                <w:bCs/>
                <w:color w:val="365F91"/>
                <w:szCs w:val="20"/>
              </w:rPr>
            </w:pPr>
            <w:r>
              <w:rPr>
                <w:rFonts w:cs="Dresdner Bank AG"/>
                <w:bCs/>
                <w:color w:val="365F91"/>
                <w:szCs w:val="20"/>
              </w:rPr>
              <w:t>Ireland</w:t>
            </w:r>
          </w:p>
        </w:tc>
        <w:tc>
          <w:tcPr>
            <w:tcW w:w="1667" w:type="dxa"/>
          </w:tcPr>
          <w:p w:rsidRPr="004A3255" w:rsidR="00AD3D92" w:rsidP="003D1995" w:rsidRDefault="00AD3D92" w14:paraId="0B2A3EC5" w14:textId="77777777">
            <w:pPr>
              <w:jc w:val="center"/>
              <w:rPr>
                <w:rFonts w:cs="Dresdner Bank AG"/>
                <w:bCs/>
                <w:color w:val="365F91"/>
                <w:szCs w:val="20"/>
              </w:rPr>
            </w:pPr>
            <w:r w:rsidRPr="004A3255">
              <w:rPr>
                <w:rFonts w:cs="Dresdner Bank AG"/>
                <w:color w:val="365F91"/>
                <w:szCs w:val="20"/>
                <w:lang w:val="en-US"/>
              </w:rPr>
              <w:t>7</w:t>
            </w:r>
            <w:r>
              <w:rPr>
                <w:rFonts w:cs="Dresdner Bank AG"/>
                <w:color w:val="365F91"/>
                <w:szCs w:val="20"/>
                <w:lang w:val="en-US"/>
              </w:rPr>
              <w:t>1,360</w:t>
            </w:r>
          </w:p>
        </w:tc>
        <w:tc>
          <w:tcPr>
            <w:tcW w:w="1832" w:type="dxa"/>
          </w:tcPr>
          <w:p w:rsidRPr="004A3255" w:rsidR="00AD3D92" w:rsidP="003D1995" w:rsidRDefault="00AD3D92" w14:paraId="6EB6C196" w14:textId="77777777">
            <w:pPr>
              <w:jc w:val="center"/>
              <w:rPr>
                <w:rFonts w:cs="Dresdner Bank AG"/>
                <w:bCs/>
                <w:color w:val="365F91"/>
                <w:szCs w:val="20"/>
              </w:rPr>
            </w:pPr>
            <w:r>
              <w:rPr>
                <w:rFonts w:cs="Dresdner Bank AG"/>
                <w:bCs/>
                <w:color w:val="365F91"/>
                <w:szCs w:val="20"/>
              </w:rPr>
              <w:t>-3.9</w:t>
            </w:r>
          </w:p>
        </w:tc>
        <w:tc>
          <w:tcPr>
            <w:tcW w:w="1832" w:type="dxa"/>
          </w:tcPr>
          <w:p w:rsidRPr="004A3255" w:rsidR="00AD3D92" w:rsidP="003D1995" w:rsidRDefault="00AD3D92" w14:paraId="742D9645" w14:textId="77777777">
            <w:pPr>
              <w:jc w:val="center"/>
              <w:rPr>
                <w:rFonts w:cs="Dresdner Bank AG"/>
                <w:bCs/>
                <w:color w:val="365F91"/>
                <w:szCs w:val="20"/>
              </w:rPr>
            </w:pPr>
            <w:r>
              <w:rPr>
                <w:rFonts w:cs="Dresdner Bank AG"/>
                <w:bCs/>
                <w:color w:val="365F91"/>
                <w:szCs w:val="20"/>
              </w:rPr>
              <w:t>16</w:t>
            </w:r>
          </w:p>
        </w:tc>
      </w:tr>
      <w:tr w:rsidRPr="001366AF" w:rsidR="00AD3D92" w:rsidTr="003D1995" w14:paraId="04B9FA61" w14:textId="77777777">
        <w:tblPrEx>
          <w:tblCellMar>
            <w:left w:w="108" w:type="dxa"/>
            <w:right w:w="108" w:type="dxa"/>
          </w:tblCellMar>
        </w:tblPrEx>
        <w:trPr>
          <w:trHeight w:val="215"/>
        </w:trPr>
        <w:tc>
          <w:tcPr>
            <w:tcW w:w="709" w:type="dxa"/>
          </w:tcPr>
          <w:p w:rsidR="00AD3D92" w:rsidP="003D1995" w:rsidRDefault="00AD3D92" w14:paraId="2F3335C9" w14:textId="77777777">
            <w:pPr>
              <w:rPr>
                <w:rFonts w:cs="Dresdner Bank AG"/>
                <w:bCs/>
                <w:color w:val="365F91"/>
                <w:szCs w:val="20"/>
              </w:rPr>
            </w:pPr>
            <w:r>
              <w:rPr>
                <w:rFonts w:cs="Dresdner Bank AG"/>
                <w:bCs/>
                <w:color w:val="365F91"/>
                <w:szCs w:val="20"/>
              </w:rPr>
              <w:t>16</w:t>
            </w:r>
          </w:p>
        </w:tc>
        <w:tc>
          <w:tcPr>
            <w:tcW w:w="2986" w:type="dxa"/>
          </w:tcPr>
          <w:p w:rsidR="00AD3D92" w:rsidP="003D1995" w:rsidRDefault="00AD3D92" w14:paraId="5AA32E18" w14:textId="77777777">
            <w:pPr>
              <w:rPr>
                <w:rFonts w:cs="Dresdner Bank AG"/>
                <w:bCs/>
                <w:color w:val="365F91"/>
                <w:szCs w:val="20"/>
              </w:rPr>
            </w:pPr>
            <w:r>
              <w:rPr>
                <w:rFonts w:cs="Dresdner Bank AG"/>
                <w:bCs/>
                <w:color w:val="365F91"/>
                <w:szCs w:val="20"/>
              </w:rPr>
              <w:t>Italy</w:t>
            </w:r>
          </w:p>
        </w:tc>
        <w:tc>
          <w:tcPr>
            <w:tcW w:w="1667" w:type="dxa"/>
          </w:tcPr>
          <w:p w:rsidRPr="004A3255" w:rsidR="00AD3D92" w:rsidP="003D1995" w:rsidRDefault="00AD3D92" w14:paraId="412C32E6" w14:textId="77777777">
            <w:pPr>
              <w:jc w:val="center"/>
              <w:rPr>
                <w:rFonts w:cs="Dresdner Bank AG"/>
                <w:bCs/>
                <w:color w:val="365F91"/>
                <w:szCs w:val="20"/>
              </w:rPr>
            </w:pPr>
            <w:r>
              <w:rPr>
                <w:rFonts w:cs="Dresdner Bank AG"/>
                <w:bCs/>
                <w:color w:val="365F91"/>
                <w:szCs w:val="20"/>
              </w:rPr>
              <w:t>69,350</w:t>
            </w:r>
          </w:p>
        </w:tc>
        <w:tc>
          <w:tcPr>
            <w:tcW w:w="1832" w:type="dxa"/>
          </w:tcPr>
          <w:p w:rsidRPr="004A3255" w:rsidR="00AD3D92" w:rsidP="003D1995" w:rsidRDefault="00AD3D92" w14:paraId="57A975C6" w14:textId="77777777">
            <w:pPr>
              <w:jc w:val="center"/>
              <w:rPr>
                <w:rFonts w:cs="Dresdner Bank AG"/>
                <w:bCs/>
                <w:color w:val="365F91"/>
                <w:szCs w:val="20"/>
              </w:rPr>
            </w:pPr>
            <w:r>
              <w:rPr>
                <w:rFonts w:cs="Dresdner Bank AG"/>
                <w:bCs/>
                <w:color w:val="365F91"/>
                <w:szCs w:val="20"/>
              </w:rPr>
              <w:t>-6.9</w:t>
            </w:r>
          </w:p>
        </w:tc>
        <w:tc>
          <w:tcPr>
            <w:tcW w:w="1832" w:type="dxa"/>
          </w:tcPr>
          <w:p w:rsidRPr="004A3255" w:rsidR="00AD3D92" w:rsidP="003D1995" w:rsidRDefault="00AD3D92" w14:paraId="1B180D11" w14:textId="77777777">
            <w:pPr>
              <w:jc w:val="center"/>
              <w:rPr>
                <w:rFonts w:cs="Dresdner Bank AG"/>
                <w:bCs/>
                <w:color w:val="365F91"/>
                <w:szCs w:val="20"/>
              </w:rPr>
            </w:pPr>
            <w:r>
              <w:rPr>
                <w:rFonts w:cs="Dresdner Bank AG"/>
                <w:bCs/>
                <w:color w:val="365F91"/>
                <w:szCs w:val="20"/>
              </w:rPr>
              <w:t>5</w:t>
            </w:r>
          </w:p>
        </w:tc>
      </w:tr>
      <w:tr w:rsidRPr="001366AF" w:rsidR="00AD3D92" w:rsidTr="003D1995" w14:paraId="0DA4442F" w14:textId="77777777">
        <w:tblPrEx>
          <w:tblCellMar>
            <w:left w:w="108" w:type="dxa"/>
            <w:right w:w="108" w:type="dxa"/>
          </w:tblCellMar>
        </w:tblPrEx>
        <w:trPr>
          <w:trHeight w:val="215"/>
        </w:trPr>
        <w:tc>
          <w:tcPr>
            <w:tcW w:w="709" w:type="dxa"/>
          </w:tcPr>
          <w:p w:rsidR="00AD3D92" w:rsidP="003D1995" w:rsidRDefault="00AD3D92" w14:paraId="6DC70D5D" w14:textId="77777777">
            <w:pPr>
              <w:rPr>
                <w:rFonts w:cs="Dresdner Bank AG"/>
                <w:bCs/>
                <w:color w:val="365F91"/>
                <w:szCs w:val="20"/>
              </w:rPr>
            </w:pPr>
            <w:r>
              <w:rPr>
                <w:rFonts w:cs="Dresdner Bank AG"/>
                <w:bCs/>
                <w:color w:val="365F91"/>
                <w:szCs w:val="20"/>
              </w:rPr>
              <w:t>17</w:t>
            </w:r>
          </w:p>
        </w:tc>
        <w:tc>
          <w:tcPr>
            <w:tcW w:w="2986" w:type="dxa"/>
          </w:tcPr>
          <w:p w:rsidR="00AD3D92" w:rsidP="003D1995" w:rsidRDefault="00AD3D92" w14:paraId="0858967C" w14:textId="77777777">
            <w:pPr>
              <w:rPr>
                <w:rFonts w:cs="Dresdner Bank AG"/>
                <w:bCs/>
                <w:color w:val="365F91"/>
                <w:szCs w:val="20"/>
              </w:rPr>
            </w:pPr>
            <w:r>
              <w:rPr>
                <w:rFonts w:cs="Dresdner Bank AG"/>
                <w:bCs/>
                <w:color w:val="365F91"/>
                <w:szCs w:val="20"/>
              </w:rPr>
              <w:t>France</w:t>
            </w:r>
          </w:p>
        </w:tc>
        <w:tc>
          <w:tcPr>
            <w:tcW w:w="1667" w:type="dxa"/>
          </w:tcPr>
          <w:p w:rsidRPr="004A3255" w:rsidR="00AD3D92" w:rsidP="003D1995" w:rsidRDefault="00AD3D92" w14:paraId="4991C386" w14:textId="77777777">
            <w:pPr>
              <w:jc w:val="center"/>
              <w:rPr>
                <w:rFonts w:cs="Dresdner Bank AG"/>
                <w:bCs/>
                <w:color w:val="365F91"/>
                <w:szCs w:val="20"/>
              </w:rPr>
            </w:pPr>
            <w:r>
              <w:rPr>
                <w:rFonts w:cs="Dresdner Bank AG"/>
                <w:bCs/>
                <w:color w:val="365F91"/>
                <w:szCs w:val="20"/>
              </w:rPr>
              <w:t>67,500</w:t>
            </w:r>
          </w:p>
        </w:tc>
        <w:tc>
          <w:tcPr>
            <w:tcW w:w="1832" w:type="dxa"/>
          </w:tcPr>
          <w:p w:rsidRPr="004A3255" w:rsidR="00AD3D92" w:rsidP="003D1995" w:rsidRDefault="00AD3D92" w14:paraId="7806D985" w14:textId="77777777">
            <w:pPr>
              <w:jc w:val="center"/>
              <w:rPr>
                <w:rFonts w:cs="Dresdner Bank AG"/>
                <w:bCs/>
                <w:color w:val="365F91"/>
                <w:szCs w:val="20"/>
              </w:rPr>
            </w:pPr>
            <w:r>
              <w:rPr>
                <w:rFonts w:cs="Dresdner Bank AG"/>
                <w:bCs/>
                <w:color w:val="365F91"/>
                <w:szCs w:val="20"/>
              </w:rPr>
              <w:t>-7.1</w:t>
            </w:r>
          </w:p>
        </w:tc>
        <w:tc>
          <w:tcPr>
            <w:tcW w:w="1832" w:type="dxa"/>
          </w:tcPr>
          <w:p w:rsidRPr="004A3255" w:rsidR="00AD3D92" w:rsidP="003D1995" w:rsidRDefault="00AD3D92" w14:paraId="39D3CE75" w14:textId="77777777">
            <w:pPr>
              <w:jc w:val="center"/>
              <w:rPr>
                <w:rFonts w:cs="Dresdner Bank AG"/>
                <w:bCs/>
                <w:color w:val="365F91"/>
                <w:szCs w:val="20"/>
              </w:rPr>
            </w:pPr>
            <w:r>
              <w:rPr>
                <w:rFonts w:cs="Dresdner Bank AG"/>
                <w:bCs/>
                <w:color w:val="365F91"/>
                <w:szCs w:val="20"/>
              </w:rPr>
              <w:t>12</w:t>
            </w:r>
          </w:p>
        </w:tc>
      </w:tr>
      <w:tr w:rsidRPr="001366AF" w:rsidR="00AD3D92" w:rsidTr="003D1995" w14:paraId="4E76FF15" w14:textId="77777777">
        <w:tblPrEx>
          <w:tblCellMar>
            <w:left w:w="108" w:type="dxa"/>
            <w:right w:w="108" w:type="dxa"/>
          </w:tblCellMar>
        </w:tblPrEx>
        <w:trPr>
          <w:trHeight w:val="215"/>
        </w:trPr>
        <w:tc>
          <w:tcPr>
            <w:tcW w:w="709" w:type="dxa"/>
          </w:tcPr>
          <w:p w:rsidR="00AD3D92" w:rsidP="003D1995" w:rsidRDefault="00AD3D92" w14:paraId="71D88534" w14:textId="77777777">
            <w:pPr>
              <w:rPr>
                <w:rFonts w:cs="Dresdner Bank AG"/>
                <w:bCs/>
                <w:color w:val="365F91"/>
                <w:szCs w:val="20"/>
              </w:rPr>
            </w:pPr>
            <w:r>
              <w:rPr>
                <w:rFonts w:cs="Dresdner Bank AG"/>
                <w:bCs/>
                <w:color w:val="365F91"/>
                <w:szCs w:val="20"/>
              </w:rPr>
              <w:t>18</w:t>
            </w:r>
          </w:p>
        </w:tc>
        <w:tc>
          <w:tcPr>
            <w:tcW w:w="2986" w:type="dxa"/>
          </w:tcPr>
          <w:p w:rsidR="00AD3D92" w:rsidP="003D1995" w:rsidRDefault="00AD3D92" w14:paraId="1A7B1CB2" w14:textId="77777777">
            <w:pPr>
              <w:rPr>
                <w:rFonts w:cs="Dresdner Bank AG"/>
                <w:bCs/>
                <w:color w:val="365F91"/>
                <w:szCs w:val="20"/>
              </w:rPr>
            </w:pPr>
            <w:r>
              <w:rPr>
                <w:rFonts w:cs="Dresdner Bank AG"/>
                <w:bCs/>
                <w:color w:val="365F91"/>
                <w:szCs w:val="20"/>
              </w:rPr>
              <w:t>Austria</w:t>
            </w:r>
          </w:p>
        </w:tc>
        <w:tc>
          <w:tcPr>
            <w:tcW w:w="1667" w:type="dxa"/>
          </w:tcPr>
          <w:p w:rsidRPr="004A3255" w:rsidR="00AD3D92" w:rsidP="003D1995" w:rsidRDefault="00AD3D92" w14:paraId="0008956F" w14:textId="77777777">
            <w:pPr>
              <w:jc w:val="center"/>
              <w:rPr>
                <w:rFonts w:cs="Dresdner Bank AG"/>
                <w:bCs/>
                <w:color w:val="365F91"/>
                <w:szCs w:val="20"/>
              </w:rPr>
            </w:pPr>
            <w:r w:rsidRPr="004A3255">
              <w:rPr>
                <w:rFonts w:cs="Dresdner Bank AG"/>
                <w:color w:val="365F91"/>
                <w:szCs w:val="20"/>
                <w:lang w:val="en-US"/>
              </w:rPr>
              <w:t>6</w:t>
            </w:r>
            <w:r>
              <w:rPr>
                <w:rFonts w:cs="Dresdner Bank AG"/>
                <w:color w:val="365F91"/>
                <w:szCs w:val="20"/>
                <w:lang w:val="en-US"/>
              </w:rPr>
              <w:t>5,330</w:t>
            </w:r>
          </w:p>
        </w:tc>
        <w:tc>
          <w:tcPr>
            <w:tcW w:w="1832" w:type="dxa"/>
          </w:tcPr>
          <w:p w:rsidRPr="004A3255" w:rsidR="00AD3D92" w:rsidP="003D1995" w:rsidRDefault="00AD3D92" w14:paraId="645982B6" w14:textId="77777777">
            <w:pPr>
              <w:jc w:val="center"/>
              <w:rPr>
                <w:rFonts w:cs="Dresdner Bank AG"/>
                <w:bCs/>
                <w:color w:val="365F91"/>
                <w:szCs w:val="20"/>
              </w:rPr>
            </w:pPr>
            <w:r>
              <w:rPr>
                <w:rFonts w:cs="Dresdner Bank AG"/>
                <w:bCs/>
                <w:color w:val="365F91"/>
                <w:szCs w:val="20"/>
              </w:rPr>
              <w:t>-4.6</w:t>
            </w:r>
          </w:p>
        </w:tc>
        <w:tc>
          <w:tcPr>
            <w:tcW w:w="1832" w:type="dxa"/>
          </w:tcPr>
          <w:p w:rsidRPr="004A3255" w:rsidR="00AD3D92" w:rsidP="003D1995" w:rsidRDefault="00AD3D92" w14:paraId="58F87395" w14:textId="77777777">
            <w:pPr>
              <w:jc w:val="center"/>
              <w:rPr>
                <w:rFonts w:cs="Dresdner Bank AG"/>
                <w:bCs/>
                <w:color w:val="365F91"/>
                <w:szCs w:val="20"/>
              </w:rPr>
            </w:pPr>
            <w:r>
              <w:rPr>
                <w:rFonts w:cs="Dresdner Bank AG"/>
                <w:bCs/>
                <w:color w:val="365F91"/>
                <w:szCs w:val="20"/>
              </w:rPr>
              <w:t>14</w:t>
            </w:r>
          </w:p>
        </w:tc>
      </w:tr>
      <w:tr w:rsidRPr="001366AF" w:rsidR="00AD3D92" w:rsidTr="003D1995" w14:paraId="4943C951" w14:textId="77777777">
        <w:tblPrEx>
          <w:tblCellMar>
            <w:left w:w="108" w:type="dxa"/>
            <w:right w:w="108" w:type="dxa"/>
          </w:tblCellMar>
        </w:tblPrEx>
        <w:trPr>
          <w:trHeight w:val="215"/>
        </w:trPr>
        <w:tc>
          <w:tcPr>
            <w:tcW w:w="709" w:type="dxa"/>
          </w:tcPr>
          <w:p w:rsidR="00AD3D92" w:rsidP="003D1995" w:rsidRDefault="00AD3D92" w14:paraId="4624AE4E" w14:textId="77777777">
            <w:pPr>
              <w:rPr>
                <w:rFonts w:cs="Dresdner Bank AG"/>
                <w:bCs/>
                <w:color w:val="365F91"/>
                <w:szCs w:val="20"/>
              </w:rPr>
            </w:pPr>
            <w:r>
              <w:rPr>
                <w:rFonts w:cs="Dresdner Bank AG"/>
                <w:bCs/>
                <w:color w:val="365F91"/>
                <w:szCs w:val="20"/>
              </w:rPr>
              <w:t>19</w:t>
            </w:r>
          </w:p>
        </w:tc>
        <w:tc>
          <w:tcPr>
            <w:tcW w:w="2986" w:type="dxa"/>
          </w:tcPr>
          <w:p w:rsidR="00AD3D92" w:rsidP="003D1995" w:rsidRDefault="00AD3D92" w14:paraId="083FD2D6" w14:textId="77777777">
            <w:pPr>
              <w:rPr>
                <w:rFonts w:cs="Dresdner Bank AG"/>
                <w:bCs/>
                <w:color w:val="365F91"/>
                <w:szCs w:val="20"/>
              </w:rPr>
            </w:pPr>
            <w:r>
              <w:rPr>
                <w:rFonts w:cs="Dresdner Bank AG"/>
                <w:bCs/>
                <w:color w:val="365F91"/>
                <w:szCs w:val="20"/>
              </w:rPr>
              <w:t>Germany</w:t>
            </w:r>
          </w:p>
        </w:tc>
        <w:tc>
          <w:tcPr>
            <w:tcW w:w="1667" w:type="dxa"/>
          </w:tcPr>
          <w:p w:rsidRPr="004A3255" w:rsidR="00AD3D92" w:rsidP="003D1995" w:rsidRDefault="00AD3D92" w14:paraId="13880FD2" w14:textId="77777777">
            <w:pPr>
              <w:jc w:val="center"/>
              <w:rPr>
                <w:rFonts w:cs="Dresdner Bank AG"/>
                <w:bCs/>
                <w:color w:val="365F91"/>
                <w:szCs w:val="20"/>
              </w:rPr>
            </w:pPr>
            <w:r w:rsidRPr="004A3255">
              <w:rPr>
                <w:rFonts w:cs="Dresdner Bank AG"/>
                <w:color w:val="365F91"/>
                <w:szCs w:val="20"/>
                <w:lang w:val="en-US"/>
              </w:rPr>
              <w:t>6</w:t>
            </w:r>
            <w:r>
              <w:rPr>
                <w:rFonts w:cs="Dresdner Bank AG"/>
                <w:color w:val="365F91"/>
                <w:szCs w:val="20"/>
                <w:lang w:val="en-US"/>
              </w:rPr>
              <w:t>3,540</w:t>
            </w:r>
          </w:p>
        </w:tc>
        <w:tc>
          <w:tcPr>
            <w:tcW w:w="1832" w:type="dxa"/>
          </w:tcPr>
          <w:p w:rsidRPr="004A3255" w:rsidR="00AD3D92" w:rsidP="003D1995" w:rsidRDefault="00AD3D92" w14:paraId="65D3A7FB" w14:textId="77777777">
            <w:pPr>
              <w:jc w:val="center"/>
              <w:rPr>
                <w:rFonts w:cs="Dresdner Bank AG"/>
                <w:bCs/>
                <w:color w:val="365F91"/>
                <w:szCs w:val="20"/>
              </w:rPr>
            </w:pPr>
            <w:r>
              <w:rPr>
                <w:rFonts w:cs="Dresdner Bank AG"/>
                <w:bCs/>
                <w:color w:val="365F91"/>
                <w:szCs w:val="20"/>
              </w:rPr>
              <w:t>-8.3</w:t>
            </w:r>
          </w:p>
        </w:tc>
        <w:tc>
          <w:tcPr>
            <w:tcW w:w="1832" w:type="dxa"/>
          </w:tcPr>
          <w:p w:rsidRPr="004A3255" w:rsidR="00AD3D92" w:rsidP="003D1995" w:rsidRDefault="00AD3D92" w14:paraId="03E026F9" w14:textId="77777777">
            <w:pPr>
              <w:jc w:val="center"/>
              <w:rPr>
                <w:rFonts w:cs="Dresdner Bank AG"/>
                <w:bCs/>
                <w:color w:val="365F91"/>
                <w:szCs w:val="20"/>
              </w:rPr>
            </w:pPr>
            <w:r>
              <w:rPr>
                <w:rFonts w:cs="Dresdner Bank AG"/>
                <w:bCs/>
                <w:color w:val="365F91"/>
                <w:szCs w:val="20"/>
              </w:rPr>
              <w:t>19</w:t>
            </w:r>
          </w:p>
        </w:tc>
      </w:tr>
      <w:tr w:rsidRPr="001366AF" w:rsidR="00AD3D92" w:rsidTr="003D1995" w14:paraId="28DD724A" w14:textId="77777777">
        <w:tblPrEx>
          <w:tblCellMar>
            <w:left w:w="108" w:type="dxa"/>
            <w:right w:w="108" w:type="dxa"/>
          </w:tblCellMar>
        </w:tblPrEx>
        <w:trPr>
          <w:trHeight w:val="215"/>
        </w:trPr>
        <w:tc>
          <w:tcPr>
            <w:tcW w:w="709" w:type="dxa"/>
          </w:tcPr>
          <w:p w:rsidR="00AD3D92" w:rsidP="003D1995" w:rsidRDefault="00AD3D92" w14:paraId="488EFE5E" w14:textId="77777777">
            <w:pPr>
              <w:rPr>
                <w:rFonts w:cs="Dresdner Bank AG"/>
                <w:bCs/>
                <w:color w:val="365F91"/>
                <w:szCs w:val="20"/>
              </w:rPr>
            </w:pPr>
            <w:r>
              <w:rPr>
                <w:rFonts w:cs="Dresdner Bank AG"/>
                <w:bCs/>
                <w:color w:val="365F91"/>
                <w:szCs w:val="20"/>
              </w:rPr>
              <w:t>20</w:t>
            </w:r>
          </w:p>
        </w:tc>
        <w:tc>
          <w:tcPr>
            <w:tcW w:w="2986" w:type="dxa"/>
          </w:tcPr>
          <w:p w:rsidR="00AD3D92" w:rsidP="003D1995" w:rsidRDefault="00AD3D92" w14:paraId="30C1431A" w14:textId="77777777">
            <w:pPr>
              <w:rPr>
                <w:rFonts w:cs="Dresdner Bank AG"/>
                <w:bCs/>
                <w:color w:val="365F91"/>
                <w:szCs w:val="20"/>
              </w:rPr>
            </w:pPr>
            <w:r>
              <w:rPr>
                <w:rFonts w:cs="Dresdner Bank AG"/>
                <w:bCs/>
                <w:color w:val="365F91"/>
                <w:szCs w:val="20"/>
              </w:rPr>
              <w:t>Malta</w:t>
            </w:r>
          </w:p>
        </w:tc>
        <w:tc>
          <w:tcPr>
            <w:tcW w:w="1667" w:type="dxa"/>
          </w:tcPr>
          <w:p w:rsidRPr="004A3255" w:rsidR="00AD3D92" w:rsidP="003D1995" w:rsidRDefault="00AD3D92" w14:paraId="013805F4" w14:textId="77777777">
            <w:pPr>
              <w:jc w:val="center"/>
              <w:rPr>
                <w:rFonts w:cs="Dresdner Bank AG"/>
                <w:bCs/>
                <w:color w:val="365F91"/>
                <w:szCs w:val="20"/>
              </w:rPr>
            </w:pPr>
            <w:r>
              <w:rPr>
                <w:rFonts w:cs="Dresdner Bank AG"/>
                <w:bCs/>
                <w:color w:val="365F91"/>
                <w:szCs w:val="20"/>
              </w:rPr>
              <w:t>49,500</w:t>
            </w:r>
          </w:p>
        </w:tc>
        <w:tc>
          <w:tcPr>
            <w:tcW w:w="1832" w:type="dxa"/>
          </w:tcPr>
          <w:p w:rsidRPr="004A3255" w:rsidR="00AD3D92" w:rsidP="003D1995" w:rsidRDefault="00AD3D92" w14:paraId="5D491C62" w14:textId="77777777">
            <w:pPr>
              <w:jc w:val="center"/>
              <w:rPr>
                <w:rFonts w:cs="Dresdner Bank AG"/>
                <w:bCs/>
                <w:color w:val="365F91"/>
                <w:szCs w:val="20"/>
              </w:rPr>
            </w:pPr>
            <w:r>
              <w:rPr>
                <w:rFonts w:cs="Dresdner Bank AG"/>
                <w:bCs/>
                <w:color w:val="365F91"/>
                <w:szCs w:val="20"/>
              </w:rPr>
              <w:t>+0.6</w:t>
            </w:r>
          </w:p>
        </w:tc>
        <w:tc>
          <w:tcPr>
            <w:tcW w:w="1832" w:type="dxa"/>
          </w:tcPr>
          <w:p w:rsidRPr="004A3255" w:rsidR="00AD3D92" w:rsidP="003D1995" w:rsidRDefault="00AD3D92" w14:paraId="58D2C507" w14:textId="77777777">
            <w:pPr>
              <w:jc w:val="center"/>
              <w:rPr>
                <w:rFonts w:cs="Dresdner Bank AG"/>
                <w:bCs/>
                <w:color w:val="365F91"/>
                <w:szCs w:val="20"/>
              </w:rPr>
            </w:pPr>
            <w:r>
              <w:rPr>
                <w:rFonts w:cs="Dresdner Bank AG"/>
                <w:bCs/>
                <w:color w:val="365F91"/>
                <w:szCs w:val="20"/>
              </w:rPr>
              <w:t>20</w:t>
            </w:r>
          </w:p>
        </w:tc>
      </w:tr>
      <w:tr w:rsidRPr="001366AF" w:rsidR="00AD3D92" w:rsidTr="003D1995" w14:paraId="06DA4651" w14:textId="77777777">
        <w:tblPrEx>
          <w:tblCellMar>
            <w:left w:w="108" w:type="dxa"/>
            <w:right w:w="108" w:type="dxa"/>
          </w:tblCellMar>
        </w:tblPrEx>
        <w:trPr>
          <w:trHeight w:val="215"/>
        </w:trPr>
        <w:tc>
          <w:tcPr>
            <w:tcW w:w="709" w:type="dxa"/>
          </w:tcPr>
          <w:p w:rsidR="00AD3D92" w:rsidP="003D1995" w:rsidRDefault="00AD3D92" w14:paraId="52764511" w14:textId="77777777">
            <w:pPr>
              <w:rPr>
                <w:rFonts w:cs="Dresdner Bank AG"/>
                <w:bCs/>
                <w:color w:val="365F91"/>
                <w:szCs w:val="20"/>
              </w:rPr>
            </w:pPr>
            <w:r>
              <w:rPr>
                <w:rFonts w:cs="Dresdner Bank AG"/>
                <w:bCs/>
                <w:color w:val="365F91"/>
                <w:szCs w:val="20"/>
              </w:rPr>
              <w:t>21</w:t>
            </w:r>
          </w:p>
        </w:tc>
        <w:tc>
          <w:tcPr>
            <w:tcW w:w="2986" w:type="dxa"/>
          </w:tcPr>
          <w:p w:rsidR="00AD3D92" w:rsidP="003D1995" w:rsidRDefault="00AD3D92" w14:paraId="1E448242" w14:textId="77777777">
            <w:pPr>
              <w:rPr>
                <w:rFonts w:cs="Dresdner Bank AG"/>
                <w:bCs/>
                <w:color w:val="365F91"/>
                <w:szCs w:val="20"/>
              </w:rPr>
            </w:pPr>
            <w:r>
              <w:rPr>
                <w:rFonts w:cs="Dresdner Bank AG"/>
                <w:bCs/>
                <w:color w:val="365F91"/>
                <w:szCs w:val="20"/>
              </w:rPr>
              <w:t>Spain</w:t>
            </w:r>
          </w:p>
        </w:tc>
        <w:tc>
          <w:tcPr>
            <w:tcW w:w="1667" w:type="dxa"/>
          </w:tcPr>
          <w:p w:rsidR="00AD3D92" w:rsidP="003D1995" w:rsidRDefault="00AD3D92" w14:paraId="4545D2BA" w14:textId="77777777">
            <w:pPr>
              <w:jc w:val="center"/>
              <w:rPr>
                <w:rFonts w:cs="Dresdner Bank AG"/>
                <w:bCs/>
                <w:color w:val="365F91"/>
                <w:szCs w:val="20"/>
              </w:rPr>
            </w:pPr>
            <w:r>
              <w:rPr>
                <w:rFonts w:cs="Dresdner Bank AG"/>
                <w:bCs/>
                <w:color w:val="365F91"/>
                <w:szCs w:val="20"/>
              </w:rPr>
              <w:t>41,270</w:t>
            </w:r>
          </w:p>
        </w:tc>
        <w:tc>
          <w:tcPr>
            <w:tcW w:w="1832" w:type="dxa"/>
          </w:tcPr>
          <w:p w:rsidR="00AD3D92" w:rsidP="003D1995" w:rsidRDefault="00AD3D92" w14:paraId="22B1FE9E" w14:textId="77777777">
            <w:pPr>
              <w:jc w:val="center"/>
              <w:rPr>
                <w:rFonts w:cs="Dresdner Bank AG"/>
                <w:bCs/>
                <w:color w:val="365F91"/>
                <w:szCs w:val="20"/>
              </w:rPr>
            </w:pPr>
            <w:r>
              <w:rPr>
                <w:rFonts w:cs="Dresdner Bank AG"/>
                <w:bCs/>
                <w:color w:val="365F91"/>
                <w:szCs w:val="20"/>
              </w:rPr>
              <w:t>-0.1</w:t>
            </w:r>
          </w:p>
        </w:tc>
        <w:tc>
          <w:tcPr>
            <w:tcW w:w="1832" w:type="dxa"/>
          </w:tcPr>
          <w:p w:rsidR="00AD3D92" w:rsidP="003D1995" w:rsidRDefault="00AD3D92" w14:paraId="2181AD18" w14:textId="77777777">
            <w:pPr>
              <w:jc w:val="center"/>
              <w:rPr>
                <w:rFonts w:cs="Dresdner Bank AG"/>
                <w:bCs/>
                <w:color w:val="365F91"/>
                <w:szCs w:val="20"/>
              </w:rPr>
            </w:pPr>
            <w:r>
              <w:rPr>
                <w:rFonts w:cs="Dresdner Bank AG"/>
                <w:bCs/>
                <w:color w:val="365F91"/>
                <w:szCs w:val="20"/>
              </w:rPr>
              <w:t>22</w:t>
            </w:r>
          </w:p>
        </w:tc>
      </w:tr>
    </w:tbl>
    <w:p w:rsidRPr="008B6B7D" w:rsidR="00AD3D92" w:rsidP="00AD3D92" w:rsidRDefault="00AD3D92" w14:paraId="7EC847AC" w14:textId="77777777">
      <w:pPr>
        <w:pStyle w:val="TextPM"/>
        <w:spacing w:after="0"/>
        <w:rPr>
          <w:rFonts w:asciiTheme="majorHAnsi" w:hAnsiTheme="majorHAnsi" w:eastAsiaTheme="minorHAnsi" w:cstheme="minorBidi"/>
          <w:color w:val="44546A" w:themeColor="text2"/>
          <w:lang w:val="en-US" w:eastAsia="en-US"/>
        </w:rPr>
      </w:pPr>
    </w:p>
    <w:p w:rsidR="00AD3D92" w:rsidP="00AD3D92" w:rsidRDefault="00AD3D92" w14:paraId="64727ECE" w14:textId="77777777">
      <w:pPr>
        <w:rPr>
          <w:rFonts w:cs="Arial"/>
          <w:lang w:val="en-US"/>
        </w:rPr>
      </w:pPr>
      <w:r w:rsidRPr="008B6B7D">
        <w:rPr>
          <w:rFonts w:cs="Arial"/>
          <w:lang w:val="en-US"/>
        </w:rPr>
        <w:t xml:space="preserve">The interactive “Allianz Global </w:t>
      </w:r>
      <w:r>
        <w:rPr>
          <w:rFonts w:cs="Arial"/>
          <w:lang w:val="en-US"/>
        </w:rPr>
        <w:t>Wealth</w:t>
      </w:r>
      <w:r w:rsidRPr="008B6B7D">
        <w:rPr>
          <w:rFonts w:cs="Arial"/>
          <w:lang w:val="en-US"/>
        </w:rPr>
        <w:t xml:space="preserve"> Map” can be found </w:t>
      </w:r>
      <w:r>
        <w:rPr>
          <w:rFonts w:cs="Arial"/>
          <w:lang w:val="en-US"/>
        </w:rPr>
        <w:t xml:space="preserve">here </w:t>
      </w:r>
      <w:r w:rsidRPr="008B6B7D">
        <w:rPr>
          <w:rFonts w:cs="Arial"/>
          <w:lang w:val="en-US"/>
        </w:rPr>
        <w:t>on our homepage</w:t>
      </w:r>
      <w:r>
        <w:rPr>
          <w:rFonts w:cs="Arial"/>
          <w:lang w:val="en-US"/>
        </w:rPr>
        <w:t>:</w:t>
      </w:r>
    </w:p>
    <w:p w:rsidRPr="007914C9" w:rsidR="00AD3D92" w:rsidP="00AD3D92" w:rsidRDefault="00AD3D92" w14:paraId="17777F47" w14:textId="77777777">
      <w:pPr>
        <w:rPr>
          <w:lang w:val="en-US"/>
        </w:rPr>
      </w:pPr>
      <w:hyperlink w:history="1" r:id="rId11">
        <w:r w:rsidRPr="007914C9">
          <w:rPr>
            <w:rStyle w:val="Hipervnculo"/>
            <w:lang w:val="en-US"/>
          </w:rPr>
          <w:t>https://www.allianz.com/en/economic_research/research-data/interactive-wealth-map.html</w:t>
        </w:r>
      </w:hyperlink>
    </w:p>
    <w:p w:rsidRPr="008B6B7D" w:rsidR="00AD3D92" w:rsidP="00AD3D92" w:rsidRDefault="00AD3D92" w14:paraId="5E5A837C" w14:textId="77777777">
      <w:pPr>
        <w:rPr>
          <w:lang w:val="en-US"/>
        </w:rPr>
      </w:pPr>
    </w:p>
    <w:p w:rsidR="00AD3D92" w:rsidP="00AD3D92" w:rsidRDefault="00AD3D92" w14:paraId="51730AD5" w14:textId="77777777">
      <w:pPr>
        <w:rPr>
          <w:lang w:val="en-US"/>
        </w:rPr>
      </w:pPr>
      <w:r w:rsidRPr="008B6B7D">
        <w:rPr>
          <w:lang w:val="en-US"/>
        </w:rPr>
        <w:t xml:space="preserve">You can find the study </w:t>
      </w:r>
      <w:r>
        <w:rPr>
          <w:lang w:val="en-US"/>
        </w:rPr>
        <w:t>here o</w:t>
      </w:r>
      <w:r w:rsidRPr="008B6B7D">
        <w:rPr>
          <w:lang w:val="en-US"/>
        </w:rPr>
        <w:t>n our homepage</w:t>
      </w:r>
      <w:r>
        <w:rPr>
          <w:lang w:val="en-US"/>
        </w:rPr>
        <w:t xml:space="preserve">: </w:t>
      </w:r>
      <w:hyperlink w:history="1" r:id="rId12">
        <w:r w:rsidRPr="00FF2BA5">
          <w:rPr>
            <w:rStyle w:val="Hipervnculo"/>
            <w:lang w:val="en-US"/>
          </w:rPr>
          <w:t>https://www.allianz.com/en/economic_research.html</w:t>
        </w:r>
      </w:hyperlink>
    </w:p>
    <w:p w:rsidRPr="008B6B7D" w:rsidR="00AD3D92" w:rsidP="00AD3D92" w:rsidRDefault="00AD3D92" w14:paraId="45735E9A" w14:textId="77777777">
      <w:pPr>
        <w:pStyle w:val="TextPM"/>
        <w:spacing w:after="0"/>
        <w:rPr>
          <w:rFonts w:asciiTheme="majorHAnsi" w:hAnsiTheme="majorHAnsi" w:eastAsiaTheme="minorHAnsi" w:cstheme="minorBidi"/>
          <w:color w:val="44546A" w:themeColor="text2"/>
          <w:lang w:val="en-US" w:eastAsia="en-US"/>
        </w:rPr>
      </w:pPr>
    </w:p>
    <w:p w:rsidR="00AD3D92" w:rsidP="00AD3D92" w:rsidRDefault="00AD3D92" w14:paraId="76010FE3" w14:textId="77777777">
      <w:pPr>
        <w:pStyle w:val="TextPM"/>
        <w:spacing w:after="0"/>
        <w:rPr>
          <w:rFonts w:asciiTheme="majorHAnsi" w:hAnsiTheme="majorHAnsi" w:eastAsiaTheme="minorHAnsi" w:cstheme="minorBidi"/>
          <w:b/>
          <w:bCs/>
          <w:color w:val="44546A" w:themeColor="text2"/>
          <w:lang w:val="en-US" w:eastAsia="en-US"/>
        </w:rPr>
      </w:pPr>
      <w:r>
        <w:rPr>
          <w:rFonts w:asciiTheme="majorHAnsi" w:hAnsiTheme="majorHAnsi" w:eastAsiaTheme="minorHAnsi" w:cstheme="minorBidi"/>
          <w:b/>
          <w:bCs/>
          <w:color w:val="44546A" w:themeColor="text2"/>
          <w:lang w:val="en-US" w:eastAsia="en-US"/>
        </w:rPr>
        <w:t>For further information please contact:</w:t>
      </w:r>
    </w:p>
    <w:p w:rsidR="00AD3D92" w:rsidP="00AD3D92" w:rsidRDefault="00AD3D92" w14:paraId="21CB5E6B" w14:textId="77777777">
      <w:pPr>
        <w:pStyle w:val="TextPM"/>
        <w:spacing w:after="0"/>
        <w:rPr>
          <w:b/>
          <w:bCs/>
          <w:lang w:val="en-US"/>
        </w:rPr>
      </w:pPr>
    </w:p>
    <w:tbl>
      <w:tblPr>
        <w:tblStyle w:val="Tablaconcuadrcula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310"/>
        <w:gridCol w:w="2451"/>
        <w:gridCol w:w="3743"/>
      </w:tblGrid>
      <w:tr w:rsidRPr="00415EF5" w:rsidR="00AD3D92" w:rsidTr="003D1995" w14:paraId="3453EB5C" w14:textId="77777777">
        <w:trPr>
          <w:trHeight w:val="279"/>
        </w:trPr>
        <w:tc>
          <w:tcPr>
            <w:tcW w:w="2469" w:type="dxa"/>
            <w:hideMark/>
          </w:tcPr>
          <w:p w:rsidR="00AD3D92" w:rsidP="003D1995" w:rsidRDefault="00AD3D92" w14:paraId="11F1F887" w14:textId="77777777">
            <w:pPr>
              <w:pStyle w:val="TextPM"/>
              <w:spacing w:after="0" w:line="276" w:lineRule="auto"/>
              <w:rPr>
                <w:rFonts w:cs="Arial" w:asciiTheme="majorHAnsi" w:hAnsiTheme="majorHAnsi"/>
                <w:color w:val="44546A" w:themeColor="text2"/>
                <w:szCs w:val="22"/>
                <w:lang w:val="en-US" w:eastAsia="en-US"/>
              </w:rPr>
            </w:pPr>
            <w:r>
              <w:rPr>
                <w:rFonts w:cs="Arial" w:asciiTheme="majorHAnsi" w:hAnsiTheme="majorHAnsi"/>
                <w:color w:val="44546A" w:themeColor="text2"/>
                <w:szCs w:val="22"/>
                <w:lang w:val="en-US" w:eastAsia="en-US"/>
              </w:rPr>
              <w:t>Lorenz Weimann</w:t>
            </w:r>
          </w:p>
        </w:tc>
        <w:tc>
          <w:tcPr>
            <w:tcW w:w="2654" w:type="dxa"/>
            <w:hideMark/>
          </w:tcPr>
          <w:p w:rsidR="00AD3D92" w:rsidP="003D1995" w:rsidRDefault="00AD3D92" w14:paraId="0AD81BBA" w14:textId="77777777">
            <w:pPr>
              <w:pStyle w:val="TextPM"/>
              <w:spacing w:after="0" w:line="276" w:lineRule="auto"/>
              <w:rPr>
                <w:rFonts w:cs="Arial" w:asciiTheme="majorHAnsi" w:hAnsiTheme="majorHAnsi"/>
                <w:color w:val="44546A" w:themeColor="text2"/>
                <w:szCs w:val="22"/>
                <w:lang w:val="en-US" w:eastAsia="en-US"/>
              </w:rPr>
            </w:pPr>
            <w:r>
              <w:rPr>
                <w:rFonts w:cs="Arial" w:asciiTheme="majorHAnsi" w:hAnsiTheme="majorHAnsi"/>
                <w:color w:val="44546A" w:themeColor="text2"/>
                <w:szCs w:val="22"/>
                <w:lang w:val="en-US" w:eastAsia="en-US"/>
              </w:rPr>
              <w:t>Tel. +49 89 3800 16891</w:t>
            </w:r>
          </w:p>
        </w:tc>
        <w:tc>
          <w:tcPr>
            <w:tcW w:w="3903" w:type="dxa"/>
            <w:hideMark/>
          </w:tcPr>
          <w:p w:rsidRPr="00FB6AE2" w:rsidR="00AD3D92" w:rsidP="003D1995" w:rsidRDefault="00AD3D92" w14:paraId="1FAC6964" w14:textId="77777777">
            <w:pPr>
              <w:pStyle w:val="TextPM"/>
              <w:spacing w:after="0" w:line="276" w:lineRule="auto"/>
              <w:rPr>
                <w:rFonts w:cs="Arial" w:asciiTheme="majorHAnsi" w:hAnsiTheme="majorHAnsi"/>
                <w:color w:val="44546A" w:themeColor="text2"/>
                <w:szCs w:val="22"/>
                <w:lang w:val="it-IT" w:eastAsia="en-US"/>
              </w:rPr>
            </w:pPr>
            <w:r w:rsidRPr="00FB6AE2">
              <w:rPr>
                <w:rFonts w:cs="Arial" w:asciiTheme="majorHAnsi" w:hAnsiTheme="majorHAnsi"/>
                <w:color w:val="44546A" w:themeColor="text2"/>
                <w:szCs w:val="22"/>
                <w:lang w:val="it-IT" w:eastAsia="en-US"/>
              </w:rPr>
              <w:t xml:space="preserve">e-mail: </w:t>
            </w:r>
            <w:hyperlink w:history="1" r:id="rId13">
              <w:r w:rsidRPr="00A67377">
                <w:rPr>
                  <w:rStyle w:val="Hipervnculo"/>
                  <w:rFonts w:cs="Arial" w:asciiTheme="majorHAnsi" w:hAnsiTheme="majorHAnsi"/>
                  <w:szCs w:val="22"/>
                  <w:lang w:val="it-IT" w:eastAsia="en-US"/>
                </w:rPr>
                <w:t>l</w:t>
              </w:r>
              <w:r w:rsidRPr="00A67377">
                <w:rPr>
                  <w:rStyle w:val="Hipervnculo"/>
                  <w:rFonts w:cs="Arial" w:asciiTheme="majorHAnsi" w:hAnsiTheme="majorHAnsi"/>
                  <w:szCs w:val="22"/>
                  <w:lang w:val="it-IT"/>
                </w:rPr>
                <w:t>orenz.weimann</w:t>
              </w:r>
              <w:r w:rsidRPr="00A67377">
                <w:rPr>
                  <w:rStyle w:val="Hipervnculo"/>
                  <w:rFonts w:cs="Arial" w:asciiTheme="majorHAnsi" w:hAnsiTheme="majorHAnsi"/>
                  <w:szCs w:val="22"/>
                  <w:lang w:val="it-IT" w:eastAsia="en-US"/>
                </w:rPr>
                <w:t>@allianz.com</w:t>
              </w:r>
            </w:hyperlink>
          </w:p>
        </w:tc>
      </w:tr>
    </w:tbl>
    <w:p w:rsidRPr="00192ECA" w:rsidR="00AF555D" w:rsidP="00AD3D92" w:rsidRDefault="00AF555D" w14:paraId="6097E10C" w14:textId="77777777">
      <w:pPr>
        <w:tabs>
          <w:tab w:val="left" w:pos="567"/>
          <w:tab w:val="left" w:pos="8505"/>
        </w:tabs>
        <w:spacing w:line="276" w:lineRule="auto"/>
        <w:ind w:right="-1"/>
        <w:jc w:val="both"/>
        <w:rPr>
          <w:rFonts w:cs="Arial"/>
          <w:lang w:val="es-ES_tradnl"/>
        </w:rPr>
      </w:pPr>
    </w:p>
    <w:sectPr w:rsidRPr="00192ECA" w:rsidR="00AF555D" w:rsidSect="001C1D7B">
      <w:headerReference w:type="default" r:id="rId14"/>
      <w:headerReference w:type="first" r:id="rId15"/>
      <w:pgSz w:w="11906" w:h="16838" w:orient="portrait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347D1" w:rsidP="005A12DE" w:rsidRDefault="002347D1" w14:paraId="11626877" w14:textId="77777777">
      <w:r>
        <w:separator/>
      </w:r>
    </w:p>
  </w:endnote>
  <w:endnote w:type="continuationSeparator" w:id="0">
    <w:p w:rsidR="002347D1" w:rsidP="005A12DE" w:rsidRDefault="002347D1" w14:paraId="63A8D3D8" w14:textId="77777777">
      <w:r>
        <w:continuationSeparator/>
      </w:r>
    </w:p>
  </w:endnote>
  <w:endnote w:type="continuationNotice" w:id="1">
    <w:p w:rsidR="002347D1" w:rsidRDefault="002347D1" w14:paraId="053E1C6E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">
    <w:altName w:val="Arial"/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Dresdner Bank AG">
    <w:altName w:val="Trebuchet MS"/>
    <w:charset w:val="00"/>
    <w:family w:val="swiss"/>
    <w:pitch w:val="variable"/>
    <w:sig w:usb0="00000087" w:usb1="00000000" w:usb2="00000000" w:usb3="00000000" w:csb0="0000000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347D1" w:rsidP="005A12DE" w:rsidRDefault="002347D1" w14:paraId="6750E27C" w14:textId="77777777">
      <w:r>
        <w:separator/>
      </w:r>
    </w:p>
  </w:footnote>
  <w:footnote w:type="continuationSeparator" w:id="0">
    <w:p w:rsidR="002347D1" w:rsidP="005A12DE" w:rsidRDefault="002347D1" w14:paraId="15C7616E" w14:textId="77777777">
      <w:r>
        <w:continuationSeparator/>
      </w:r>
    </w:p>
  </w:footnote>
  <w:footnote w:type="continuationNotice" w:id="1">
    <w:p w:rsidR="002347D1" w:rsidRDefault="002347D1" w14:paraId="75A8CD0C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16sdtdh wp14">
  <w:p w:rsidR="0015356D" w:rsidRDefault="0015356D" w14:paraId="6F17B665" w14:textId="4F48DBC9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392493D9" wp14:editId="4ABE4C2B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2" name="Cuadro de texto 2" descr="{&quot;HashCode&quot;:-1284201107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15356D" w:rsidP="0015356D" w:rsidRDefault="0015356D" w14:paraId="27D75859" w14:textId="25C6EE47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</w:p>
                        <w:p w:rsidRPr="0015356D" w:rsidR="00F25944" w:rsidP="0015356D" w:rsidRDefault="00F25944" w14:paraId="07CF0347" w14:textId="77777777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392493D9">
              <v:stroke joinstyle="miter"/>
              <v:path gradientshapeok="t" o:connecttype="rect"/>
            </v:shapetype>
            <v:shape id="Cuadro de texto 2" style="position:absolute;margin-left:0;margin-top:15pt;width:595.3pt;height:21.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alt="{&quot;HashCode&quot;:-1284201107,&quot;Height&quot;:841.0,&quot;Width&quot;:595.0,&quot;Placement&quot;:&quot;Header&quot;,&quot;Index&quot;:&quot;Primary&quot;,&quot;Section&quot;:1,&quot;Top&quot;:0.0,&quot;Left&quot;:0.0}" o:spid="_x0000_s1026" o:allowincell="f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">
              <v:textbox inset=",0,,0">
                <w:txbxContent>
                  <w:p w:rsidR="0015356D" w:rsidP="0015356D" w:rsidRDefault="0015356D" w14:paraId="27D75859" w14:textId="25C6EE47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</w:p>
                  <w:p w:rsidRPr="0015356D" w:rsidR="00F25944" w:rsidP="0015356D" w:rsidRDefault="00F25944" w14:paraId="07CF0347" w14:textId="77777777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xmlns:pic="http://schemas.openxmlformats.org/drawingml/2006/picture" mc:Ignorable="w14 w15 w16se w16cid w16 w16cex w16sdtdh wp14">
  <w:p w:rsidRPr="00B111A5" w:rsidR="005A12DE" w:rsidP="005A12DE" w:rsidRDefault="0015356D" w14:paraId="7A809C21" w14:textId="2FD3EB06">
    <w:pPr>
      <w:pStyle w:val="Encabezado"/>
      <w:jc w:val="right"/>
      <w:rPr>
        <w:sz w:val="28"/>
        <w:szCs w:val="28"/>
      </w:rPr>
    </w:pPr>
    <w:r>
      <w:rPr>
        <w:b/>
        <w:noProof/>
        <w:color w:val="000080"/>
        <w:sz w:val="28"/>
        <w:lang w:eastAsia="es-ES"/>
      </w:rPr>
      <mc:AlternateContent>
        <mc:Choice Requires="wps">
          <w:drawing>
            <wp:anchor distT="0" distB="0" distL="114300" distR="114300" simplePos="0" relativeHeight="251658241" behindDoc="0" locked="0" layoutInCell="0" allowOverlap="1" wp14:anchorId="6FEC0E15" wp14:editId="0BF630BF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3" name="Cuadro de texto 3" descr="{&quot;HashCode&quot;:-1284201107,&quot;Height&quot;:841.0,&quot;Width&quot;:595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Pr="0015356D" w:rsidR="0015356D" w:rsidP="0015356D" w:rsidRDefault="0015356D" w14:paraId="00FFDF07" w14:textId="086B024B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6FEC0E15">
              <v:stroke joinstyle="miter"/>
              <v:path gradientshapeok="t" o:connecttype="rect"/>
            </v:shapetype>
            <v:shape id="Cuadro de texto 3" style="position:absolute;left:0;text-align:left;margin-left:0;margin-top:15pt;width:595.3pt;height:21.5pt;z-index:25165824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alt="{&quot;HashCode&quot;:-1284201107,&quot;Height&quot;:841.0,&quot;Width&quot;:595.0,&quot;Placement&quot;:&quot;Header&quot;,&quot;Index&quot;:&quot;FirstPage&quot;,&quot;Section&quot;:1,&quot;Top&quot;:0.0,&quot;Left&quot;:0.0}" o:spid="_x0000_s1027" o:allowincell="f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">
              <v:textbox inset=",0,,0">
                <w:txbxContent>
                  <w:p w:rsidRPr="0015356D" w:rsidR="0015356D" w:rsidP="0015356D" w:rsidRDefault="0015356D" w14:paraId="00FFDF07" w14:textId="086B024B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Pr="006831CF" w:rsidR="005A12DE">
      <w:rPr>
        <w:b/>
        <w:noProof/>
        <w:color w:val="000080"/>
        <w:sz w:val="28"/>
        <w:lang w:eastAsia="es-ES"/>
      </w:rPr>
      <w:drawing>
        <wp:inline distT="0" distB="0" distL="0" distR="0" wp14:anchorId="1C9E2866" wp14:editId="74A92E6B">
          <wp:extent cx="1638935" cy="405130"/>
          <wp:effectExtent l="0" t="0" r="0" b="0"/>
          <wp:docPr id="1" name="Imagen 1" descr="ALLIANZ_logo 100x25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LLIANZ_logo 100x25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935" cy="405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A12DE" w:rsidP="005A12DE" w:rsidRDefault="005A12DE" w14:paraId="32F29E57" w14:textId="77777777">
    <w:pPr>
      <w:pStyle w:val="Arial14"/>
    </w:pPr>
  </w:p>
  <w:p w:rsidR="005A12DE" w:rsidP="005A12DE" w:rsidRDefault="005A12DE" w14:paraId="20B14F4B" w14:textId="77777777">
    <w:pPr>
      <w:pStyle w:val="Arial14"/>
    </w:pPr>
  </w:p>
  <w:p w:rsidR="005A12DE" w:rsidP="005A12DE" w:rsidRDefault="005A12DE" w14:paraId="4D3BA1FF" w14:textId="77777777">
    <w:pPr>
      <w:pStyle w:val="Arial14"/>
    </w:pPr>
    <w:r>
      <w:t>Allianz Seguros</w:t>
    </w:r>
  </w:p>
  <w:p w:rsidRPr="008C15A2" w:rsidR="005A12DE" w:rsidP="005A12DE" w:rsidRDefault="005A12DE" w14:paraId="03C2A4DB" w14:textId="77777777">
    <w:pPr>
      <w:pStyle w:val="Encabezado"/>
      <w:rPr>
        <w:sz w:val="10"/>
        <w:szCs w:val="10"/>
      </w:rPr>
    </w:pPr>
  </w:p>
  <w:p w:rsidRPr="00875F72" w:rsidR="005A12DE" w:rsidP="005A12DE" w:rsidRDefault="005A12DE" w14:paraId="5D3B2AA4" w14:textId="77777777">
    <w:pPr>
      <w:pStyle w:val="Encabezado"/>
      <w:rPr>
        <w:sz w:val="20"/>
        <w:szCs w:val="20"/>
      </w:rPr>
    </w:pPr>
    <w:r>
      <w:rPr>
        <w:sz w:val="20"/>
        <w:szCs w:val="20"/>
      </w:rPr>
      <w:t>Comunicación Corporativa</w:t>
    </w:r>
  </w:p>
  <w:p w:rsidRPr="002D46FF" w:rsidR="005A12DE" w:rsidP="005A12DE" w:rsidRDefault="005A12DE" w14:paraId="41DFC18D" w14:textId="77777777">
    <w:pPr>
      <w:pStyle w:val="Encabezado"/>
      <w:rPr>
        <w:sz w:val="40"/>
        <w:szCs w:val="40"/>
      </w:rPr>
    </w:pPr>
  </w:p>
  <w:p w:rsidRPr="0057293C" w:rsidR="005A12DE" w:rsidP="005A12DE" w:rsidRDefault="005A12DE" w14:paraId="40110E3F" w14:textId="77777777">
    <w:pPr>
      <w:pStyle w:val="Encabezado"/>
      <w:rPr>
        <w:color w:val="7F7F7F"/>
        <w:sz w:val="44"/>
        <w:szCs w:val="44"/>
      </w:rPr>
    </w:pPr>
    <w:r w:rsidRPr="0057293C">
      <w:rPr>
        <w:color w:val="7F7F7F"/>
        <w:sz w:val="44"/>
        <w:szCs w:val="44"/>
      </w:rPr>
      <w:t>Nota de Prensa</w:t>
    </w:r>
  </w:p>
  <w:p w:rsidR="005A12DE" w:rsidRDefault="005A12DE" w14:paraId="20CD062A" w14:textId="7777777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FF1E29"/>
    <w:multiLevelType w:val="hybridMultilevel"/>
    <w:tmpl w:val="9E7EEB08"/>
    <w:lvl w:ilvl="0" w:tplc="0C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B231237"/>
    <w:multiLevelType w:val="hybridMultilevel"/>
    <w:tmpl w:val="38A0CB40"/>
    <w:lvl w:ilvl="0" w:tplc="0C0A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hint="default" w:ascii="Symbol" w:hAnsi="Symbol"/>
      </w:rPr>
    </w:lvl>
    <w:lvl w:ilvl="1" w:tplc="0C0A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hint="default" w:ascii="Courier New" w:hAnsi="Courier New" w:cs="Courier New"/>
      </w:rPr>
    </w:lvl>
    <w:lvl w:ilvl="2" w:tplc="0C0A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hint="default" w:ascii="Wingdings" w:hAnsi="Wingdings"/>
      </w:rPr>
    </w:lvl>
    <w:lvl w:ilvl="3" w:tplc="0C0A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hint="default" w:ascii="Symbol" w:hAnsi="Symbol"/>
      </w:rPr>
    </w:lvl>
    <w:lvl w:ilvl="4" w:tplc="0C0A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hint="default" w:ascii="Courier New" w:hAnsi="Courier New" w:cs="Courier New"/>
      </w:rPr>
    </w:lvl>
    <w:lvl w:ilvl="5" w:tplc="0C0A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hint="default" w:ascii="Wingdings" w:hAnsi="Wingdings"/>
      </w:rPr>
    </w:lvl>
    <w:lvl w:ilvl="6" w:tplc="0C0A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hint="default" w:ascii="Symbol" w:hAnsi="Symbol"/>
      </w:rPr>
    </w:lvl>
    <w:lvl w:ilvl="7" w:tplc="0C0A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hint="default" w:ascii="Courier New" w:hAnsi="Courier New" w:cs="Courier New"/>
      </w:rPr>
    </w:lvl>
    <w:lvl w:ilvl="8" w:tplc="0C0A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hint="default" w:ascii="Wingdings" w:hAnsi="Wingdings"/>
      </w:rPr>
    </w:lvl>
  </w:abstractNum>
  <w:num w:numId="1" w16cid:durableId="979185648">
    <w:abstractNumId w:val="1"/>
  </w:num>
  <w:num w:numId="2" w16cid:durableId="2596042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dirty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70FD"/>
    <w:rsid w:val="00000342"/>
    <w:rsid w:val="0000654A"/>
    <w:rsid w:val="00010477"/>
    <w:rsid w:val="000126F2"/>
    <w:rsid w:val="000273AB"/>
    <w:rsid w:val="00027664"/>
    <w:rsid w:val="00030B3D"/>
    <w:rsid w:val="000315EA"/>
    <w:rsid w:val="00032264"/>
    <w:rsid w:val="00033C4E"/>
    <w:rsid w:val="00040601"/>
    <w:rsid w:val="0004380A"/>
    <w:rsid w:val="00043DCA"/>
    <w:rsid w:val="00057E70"/>
    <w:rsid w:val="00064772"/>
    <w:rsid w:val="00066F90"/>
    <w:rsid w:val="000702D2"/>
    <w:rsid w:val="0007348C"/>
    <w:rsid w:val="00075A48"/>
    <w:rsid w:val="00077BA1"/>
    <w:rsid w:val="00082F5A"/>
    <w:rsid w:val="00084353"/>
    <w:rsid w:val="0008677B"/>
    <w:rsid w:val="00094EB8"/>
    <w:rsid w:val="000B6B79"/>
    <w:rsid w:val="000C1452"/>
    <w:rsid w:val="000C3A74"/>
    <w:rsid w:val="000C5F04"/>
    <w:rsid w:val="000C790F"/>
    <w:rsid w:val="000D5404"/>
    <w:rsid w:val="000D5D3B"/>
    <w:rsid w:val="000E09D8"/>
    <w:rsid w:val="000E0F39"/>
    <w:rsid w:val="000E7D7C"/>
    <w:rsid w:val="000F2C50"/>
    <w:rsid w:val="000F7067"/>
    <w:rsid w:val="0010016F"/>
    <w:rsid w:val="001170FD"/>
    <w:rsid w:val="001209DB"/>
    <w:rsid w:val="0012238A"/>
    <w:rsid w:val="00125CA3"/>
    <w:rsid w:val="00126FCD"/>
    <w:rsid w:val="001329F6"/>
    <w:rsid w:val="00133722"/>
    <w:rsid w:val="0013498F"/>
    <w:rsid w:val="00140352"/>
    <w:rsid w:val="0015356D"/>
    <w:rsid w:val="001653AA"/>
    <w:rsid w:val="00166F2D"/>
    <w:rsid w:val="00167E61"/>
    <w:rsid w:val="00170540"/>
    <w:rsid w:val="00183D2F"/>
    <w:rsid w:val="00192ECA"/>
    <w:rsid w:val="00193362"/>
    <w:rsid w:val="001966EF"/>
    <w:rsid w:val="001A257D"/>
    <w:rsid w:val="001A2B6B"/>
    <w:rsid w:val="001A2F5A"/>
    <w:rsid w:val="001A3E11"/>
    <w:rsid w:val="001B5E65"/>
    <w:rsid w:val="001B6C5F"/>
    <w:rsid w:val="001C0E25"/>
    <w:rsid w:val="001C1D7B"/>
    <w:rsid w:val="001D5614"/>
    <w:rsid w:val="001E2DAF"/>
    <w:rsid w:val="00201B7C"/>
    <w:rsid w:val="002073DD"/>
    <w:rsid w:val="0020746A"/>
    <w:rsid w:val="002122CC"/>
    <w:rsid w:val="00221281"/>
    <w:rsid w:val="002247D7"/>
    <w:rsid w:val="00227B07"/>
    <w:rsid w:val="002347D1"/>
    <w:rsid w:val="002408A2"/>
    <w:rsid w:val="002408CE"/>
    <w:rsid w:val="00241AC0"/>
    <w:rsid w:val="00244384"/>
    <w:rsid w:val="00245521"/>
    <w:rsid w:val="00252758"/>
    <w:rsid w:val="00255184"/>
    <w:rsid w:val="0026227C"/>
    <w:rsid w:val="00265966"/>
    <w:rsid w:val="002822C8"/>
    <w:rsid w:val="00283795"/>
    <w:rsid w:val="00286D4C"/>
    <w:rsid w:val="00295A34"/>
    <w:rsid w:val="002A3629"/>
    <w:rsid w:val="002A3A19"/>
    <w:rsid w:val="002A59BB"/>
    <w:rsid w:val="002B759D"/>
    <w:rsid w:val="002D2313"/>
    <w:rsid w:val="002D2F20"/>
    <w:rsid w:val="002D2F86"/>
    <w:rsid w:val="002D3DFD"/>
    <w:rsid w:val="002D6A92"/>
    <w:rsid w:val="002F08B7"/>
    <w:rsid w:val="002F149A"/>
    <w:rsid w:val="002F3846"/>
    <w:rsid w:val="002F4D53"/>
    <w:rsid w:val="00303A82"/>
    <w:rsid w:val="00307B51"/>
    <w:rsid w:val="0031438F"/>
    <w:rsid w:val="003238DF"/>
    <w:rsid w:val="00333238"/>
    <w:rsid w:val="00341FB5"/>
    <w:rsid w:val="00345A3B"/>
    <w:rsid w:val="00347464"/>
    <w:rsid w:val="00353231"/>
    <w:rsid w:val="0036122C"/>
    <w:rsid w:val="0036302D"/>
    <w:rsid w:val="00364C96"/>
    <w:rsid w:val="00364DF3"/>
    <w:rsid w:val="00370C36"/>
    <w:rsid w:val="003725C3"/>
    <w:rsid w:val="00375A02"/>
    <w:rsid w:val="00376F3E"/>
    <w:rsid w:val="0038160F"/>
    <w:rsid w:val="00385340"/>
    <w:rsid w:val="00392C3F"/>
    <w:rsid w:val="00392D55"/>
    <w:rsid w:val="003A4905"/>
    <w:rsid w:val="003D3F28"/>
    <w:rsid w:val="003D7871"/>
    <w:rsid w:val="003E0F65"/>
    <w:rsid w:val="003E27E0"/>
    <w:rsid w:val="003F41DA"/>
    <w:rsid w:val="004025F5"/>
    <w:rsid w:val="00415A5C"/>
    <w:rsid w:val="004226EC"/>
    <w:rsid w:val="004233D1"/>
    <w:rsid w:val="00430A29"/>
    <w:rsid w:val="00436D0F"/>
    <w:rsid w:val="00437183"/>
    <w:rsid w:val="0043793D"/>
    <w:rsid w:val="0044167E"/>
    <w:rsid w:val="00444220"/>
    <w:rsid w:val="00444BC7"/>
    <w:rsid w:val="0045559B"/>
    <w:rsid w:val="0048081F"/>
    <w:rsid w:val="004836C8"/>
    <w:rsid w:val="00484859"/>
    <w:rsid w:val="004908A6"/>
    <w:rsid w:val="00492734"/>
    <w:rsid w:val="00495827"/>
    <w:rsid w:val="0049679B"/>
    <w:rsid w:val="004B61B4"/>
    <w:rsid w:val="004B68EB"/>
    <w:rsid w:val="004C7475"/>
    <w:rsid w:val="004E6433"/>
    <w:rsid w:val="004F1378"/>
    <w:rsid w:val="004F29AD"/>
    <w:rsid w:val="004F3345"/>
    <w:rsid w:val="004F6C09"/>
    <w:rsid w:val="00502B3A"/>
    <w:rsid w:val="00511E82"/>
    <w:rsid w:val="00515452"/>
    <w:rsid w:val="005260EA"/>
    <w:rsid w:val="00551CFB"/>
    <w:rsid w:val="00556390"/>
    <w:rsid w:val="0055670D"/>
    <w:rsid w:val="005573D4"/>
    <w:rsid w:val="00562FFF"/>
    <w:rsid w:val="0056337B"/>
    <w:rsid w:val="00565A60"/>
    <w:rsid w:val="005665C0"/>
    <w:rsid w:val="00572D76"/>
    <w:rsid w:val="00576F38"/>
    <w:rsid w:val="00580AC6"/>
    <w:rsid w:val="00582E19"/>
    <w:rsid w:val="00584367"/>
    <w:rsid w:val="0059461D"/>
    <w:rsid w:val="005A12DE"/>
    <w:rsid w:val="005D1B86"/>
    <w:rsid w:val="005D30CF"/>
    <w:rsid w:val="005E138D"/>
    <w:rsid w:val="005E29FE"/>
    <w:rsid w:val="005E5D09"/>
    <w:rsid w:val="005F729B"/>
    <w:rsid w:val="00603018"/>
    <w:rsid w:val="00604F17"/>
    <w:rsid w:val="006074F3"/>
    <w:rsid w:val="00622D37"/>
    <w:rsid w:val="00623DD4"/>
    <w:rsid w:val="006512BC"/>
    <w:rsid w:val="00653F20"/>
    <w:rsid w:val="00654E94"/>
    <w:rsid w:val="00656CE8"/>
    <w:rsid w:val="00656CFB"/>
    <w:rsid w:val="00666139"/>
    <w:rsid w:val="006672FE"/>
    <w:rsid w:val="00682107"/>
    <w:rsid w:val="006862DA"/>
    <w:rsid w:val="006A08AD"/>
    <w:rsid w:val="006A0A78"/>
    <w:rsid w:val="006A0F22"/>
    <w:rsid w:val="006A59D3"/>
    <w:rsid w:val="006A6075"/>
    <w:rsid w:val="006B1500"/>
    <w:rsid w:val="006C66AC"/>
    <w:rsid w:val="006C6D6E"/>
    <w:rsid w:val="006F178F"/>
    <w:rsid w:val="007010EA"/>
    <w:rsid w:val="0070491B"/>
    <w:rsid w:val="00705409"/>
    <w:rsid w:val="00707C4C"/>
    <w:rsid w:val="00722ABA"/>
    <w:rsid w:val="00735102"/>
    <w:rsid w:val="00741AA6"/>
    <w:rsid w:val="00750E47"/>
    <w:rsid w:val="00753636"/>
    <w:rsid w:val="007614AB"/>
    <w:rsid w:val="00761D02"/>
    <w:rsid w:val="00762EDF"/>
    <w:rsid w:val="00763BE2"/>
    <w:rsid w:val="007658C5"/>
    <w:rsid w:val="00773A10"/>
    <w:rsid w:val="00774002"/>
    <w:rsid w:val="00782484"/>
    <w:rsid w:val="007866C8"/>
    <w:rsid w:val="00790A18"/>
    <w:rsid w:val="007914C9"/>
    <w:rsid w:val="00791E50"/>
    <w:rsid w:val="00791F59"/>
    <w:rsid w:val="00792B02"/>
    <w:rsid w:val="007A6099"/>
    <w:rsid w:val="007A7462"/>
    <w:rsid w:val="007B35F8"/>
    <w:rsid w:val="007D72B4"/>
    <w:rsid w:val="007E3D9C"/>
    <w:rsid w:val="007E4AFA"/>
    <w:rsid w:val="007F062F"/>
    <w:rsid w:val="007F6BF8"/>
    <w:rsid w:val="00816F1C"/>
    <w:rsid w:val="008219A0"/>
    <w:rsid w:val="00822706"/>
    <w:rsid w:val="00824099"/>
    <w:rsid w:val="0082537F"/>
    <w:rsid w:val="008330E9"/>
    <w:rsid w:val="00843CCE"/>
    <w:rsid w:val="008507B4"/>
    <w:rsid w:val="008605AD"/>
    <w:rsid w:val="00860D46"/>
    <w:rsid w:val="00864D48"/>
    <w:rsid w:val="008765F3"/>
    <w:rsid w:val="00881128"/>
    <w:rsid w:val="0088392A"/>
    <w:rsid w:val="008858D2"/>
    <w:rsid w:val="00891CBF"/>
    <w:rsid w:val="00892AA1"/>
    <w:rsid w:val="00893FCE"/>
    <w:rsid w:val="008B225C"/>
    <w:rsid w:val="008B35D9"/>
    <w:rsid w:val="008B53FE"/>
    <w:rsid w:val="008C0EAA"/>
    <w:rsid w:val="008D29DD"/>
    <w:rsid w:val="008E00F1"/>
    <w:rsid w:val="008E653E"/>
    <w:rsid w:val="008E6D84"/>
    <w:rsid w:val="008F0303"/>
    <w:rsid w:val="008F72DB"/>
    <w:rsid w:val="009001FE"/>
    <w:rsid w:val="0090438E"/>
    <w:rsid w:val="009116DF"/>
    <w:rsid w:val="00911FDC"/>
    <w:rsid w:val="00914F48"/>
    <w:rsid w:val="00914F81"/>
    <w:rsid w:val="00916CAD"/>
    <w:rsid w:val="0091731B"/>
    <w:rsid w:val="0092026B"/>
    <w:rsid w:val="00920CA3"/>
    <w:rsid w:val="009304AF"/>
    <w:rsid w:val="009415FE"/>
    <w:rsid w:val="00944C16"/>
    <w:rsid w:val="00945580"/>
    <w:rsid w:val="00945B8D"/>
    <w:rsid w:val="009470D7"/>
    <w:rsid w:val="009574A4"/>
    <w:rsid w:val="00987AA6"/>
    <w:rsid w:val="00996820"/>
    <w:rsid w:val="00996AFE"/>
    <w:rsid w:val="00997D4E"/>
    <w:rsid w:val="009A2F0E"/>
    <w:rsid w:val="009A693A"/>
    <w:rsid w:val="009B0CE2"/>
    <w:rsid w:val="009C2B22"/>
    <w:rsid w:val="009C4C28"/>
    <w:rsid w:val="009D2981"/>
    <w:rsid w:val="009F7960"/>
    <w:rsid w:val="00A0106A"/>
    <w:rsid w:val="00A01F0C"/>
    <w:rsid w:val="00A01FA9"/>
    <w:rsid w:val="00A05485"/>
    <w:rsid w:val="00A116A4"/>
    <w:rsid w:val="00A15584"/>
    <w:rsid w:val="00A219F9"/>
    <w:rsid w:val="00A22E14"/>
    <w:rsid w:val="00A278DC"/>
    <w:rsid w:val="00A32CEE"/>
    <w:rsid w:val="00A36BB7"/>
    <w:rsid w:val="00A37E18"/>
    <w:rsid w:val="00A466A5"/>
    <w:rsid w:val="00A50E95"/>
    <w:rsid w:val="00A50ED1"/>
    <w:rsid w:val="00A63B18"/>
    <w:rsid w:val="00A64DCA"/>
    <w:rsid w:val="00A72F4C"/>
    <w:rsid w:val="00A7580B"/>
    <w:rsid w:val="00A827FF"/>
    <w:rsid w:val="00A863CB"/>
    <w:rsid w:val="00AA2EE9"/>
    <w:rsid w:val="00AA3006"/>
    <w:rsid w:val="00AA5C9D"/>
    <w:rsid w:val="00AB323C"/>
    <w:rsid w:val="00AB48AB"/>
    <w:rsid w:val="00AB5CCC"/>
    <w:rsid w:val="00AC04FF"/>
    <w:rsid w:val="00AC068A"/>
    <w:rsid w:val="00AC5C8F"/>
    <w:rsid w:val="00AC62BA"/>
    <w:rsid w:val="00AC6FDE"/>
    <w:rsid w:val="00AD233D"/>
    <w:rsid w:val="00AD3D92"/>
    <w:rsid w:val="00AD5052"/>
    <w:rsid w:val="00AD66CF"/>
    <w:rsid w:val="00AE04FD"/>
    <w:rsid w:val="00AE207E"/>
    <w:rsid w:val="00AE2475"/>
    <w:rsid w:val="00AF2BB2"/>
    <w:rsid w:val="00AF5358"/>
    <w:rsid w:val="00AF555D"/>
    <w:rsid w:val="00AF78C8"/>
    <w:rsid w:val="00B001DA"/>
    <w:rsid w:val="00B06746"/>
    <w:rsid w:val="00B1478F"/>
    <w:rsid w:val="00B2331F"/>
    <w:rsid w:val="00B33897"/>
    <w:rsid w:val="00B41239"/>
    <w:rsid w:val="00B43381"/>
    <w:rsid w:val="00B56575"/>
    <w:rsid w:val="00B66B68"/>
    <w:rsid w:val="00B7539A"/>
    <w:rsid w:val="00B826F1"/>
    <w:rsid w:val="00B926A2"/>
    <w:rsid w:val="00B95DDC"/>
    <w:rsid w:val="00BA437E"/>
    <w:rsid w:val="00BB2255"/>
    <w:rsid w:val="00BB5EBC"/>
    <w:rsid w:val="00BB65F7"/>
    <w:rsid w:val="00BC022F"/>
    <w:rsid w:val="00BC1A9E"/>
    <w:rsid w:val="00BC5C93"/>
    <w:rsid w:val="00BD31A0"/>
    <w:rsid w:val="00BD32D0"/>
    <w:rsid w:val="00BD5C6F"/>
    <w:rsid w:val="00BD74F8"/>
    <w:rsid w:val="00BD785B"/>
    <w:rsid w:val="00BE0C5C"/>
    <w:rsid w:val="00BE2FE5"/>
    <w:rsid w:val="00BE399C"/>
    <w:rsid w:val="00BE546D"/>
    <w:rsid w:val="00BF58D7"/>
    <w:rsid w:val="00BF5DE7"/>
    <w:rsid w:val="00BF6697"/>
    <w:rsid w:val="00C1045E"/>
    <w:rsid w:val="00C11F18"/>
    <w:rsid w:val="00C16A78"/>
    <w:rsid w:val="00C24664"/>
    <w:rsid w:val="00C2586B"/>
    <w:rsid w:val="00C30FF1"/>
    <w:rsid w:val="00C33517"/>
    <w:rsid w:val="00C33FB5"/>
    <w:rsid w:val="00C510E2"/>
    <w:rsid w:val="00C566EA"/>
    <w:rsid w:val="00C638DA"/>
    <w:rsid w:val="00C64F6A"/>
    <w:rsid w:val="00C67F4D"/>
    <w:rsid w:val="00C70170"/>
    <w:rsid w:val="00C7034B"/>
    <w:rsid w:val="00C70835"/>
    <w:rsid w:val="00C74BD5"/>
    <w:rsid w:val="00C74E50"/>
    <w:rsid w:val="00C7771A"/>
    <w:rsid w:val="00C917B8"/>
    <w:rsid w:val="00C93BBC"/>
    <w:rsid w:val="00C94D06"/>
    <w:rsid w:val="00C95373"/>
    <w:rsid w:val="00C95410"/>
    <w:rsid w:val="00C97B6B"/>
    <w:rsid w:val="00CA14DA"/>
    <w:rsid w:val="00CA1AC8"/>
    <w:rsid w:val="00CB04FE"/>
    <w:rsid w:val="00CC121C"/>
    <w:rsid w:val="00CC2542"/>
    <w:rsid w:val="00CD388E"/>
    <w:rsid w:val="00CE0050"/>
    <w:rsid w:val="00CE15BB"/>
    <w:rsid w:val="00CE3AB6"/>
    <w:rsid w:val="00CF67E6"/>
    <w:rsid w:val="00D14E8F"/>
    <w:rsid w:val="00D2352A"/>
    <w:rsid w:val="00D31F31"/>
    <w:rsid w:val="00D36F84"/>
    <w:rsid w:val="00D40E68"/>
    <w:rsid w:val="00D52355"/>
    <w:rsid w:val="00D60095"/>
    <w:rsid w:val="00D6145B"/>
    <w:rsid w:val="00D645E6"/>
    <w:rsid w:val="00D6547D"/>
    <w:rsid w:val="00D7209E"/>
    <w:rsid w:val="00D72586"/>
    <w:rsid w:val="00D77130"/>
    <w:rsid w:val="00D81E6E"/>
    <w:rsid w:val="00D844A8"/>
    <w:rsid w:val="00D9202E"/>
    <w:rsid w:val="00D97ACA"/>
    <w:rsid w:val="00DA1507"/>
    <w:rsid w:val="00DA32B9"/>
    <w:rsid w:val="00DA4E03"/>
    <w:rsid w:val="00DA4F15"/>
    <w:rsid w:val="00DC0853"/>
    <w:rsid w:val="00DC14DD"/>
    <w:rsid w:val="00DC3F03"/>
    <w:rsid w:val="00DC77B0"/>
    <w:rsid w:val="00DD1B74"/>
    <w:rsid w:val="00DD20F6"/>
    <w:rsid w:val="00DD3C79"/>
    <w:rsid w:val="00DE4D03"/>
    <w:rsid w:val="00E02C8D"/>
    <w:rsid w:val="00E11311"/>
    <w:rsid w:val="00E13849"/>
    <w:rsid w:val="00E14651"/>
    <w:rsid w:val="00E173E5"/>
    <w:rsid w:val="00E201B1"/>
    <w:rsid w:val="00E22110"/>
    <w:rsid w:val="00E27947"/>
    <w:rsid w:val="00E35D21"/>
    <w:rsid w:val="00E40BF3"/>
    <w:rsid w:val="00E5137A"/>
    <w:rsid w:val="00E5454D"/>
    <w:rsid w:val="00E57A1D"/>
    <w:rsid w:val="00E62456"/>
    <w:rsid w:val="00E65F5F"/>
    <w:rsid w:val="00E66F05"/>
    <w:rsid w:val="00E673A9"/>
    <w:rsid w:val="00E6793E"/>
    <w:rsid w:val="00E716C5"/>
    <w:rsid w:val="00E738CF"/>
    <w:rsid w:val="00E765B9"/>
    <w:rsid w:val="00E8450A"/>
    <w:rsid w:val="00E95809"/>
    <w:rsid w:val="00EA45E9"/>
    <w:rsid w:val="00EA64D8"/>
    <w:rsid w:val="00EB3886"/>
    <w:rsid w:val="00EB38F0"/>
    <w:rsid w:val="00EC747A"/>
    <w:rsid w:val="00EC7F9E"/>
    <w:rsid w:val="00ED43B1"/>
    <w:rsid w:val="00EE4101"/>
    <w:rsid w:val="00EE555F"/>
    <w:rsid w:val="00EE631D"/>
    <w:rsid w:val="00EF5ED7"/>
    <w:rsid w:val="00EF7A49"/>
    <w:rsid w:val="00F11BE1"/>
    <w:rsid w:val="00F13C72"/>
    <w:rsid w:val="00F15F3B"/>
    <w:rsid w:val="00F21174"/>
    <w:rsid w:val="00F24E68"/>
    <w:rsid w:val="00F25944"/>
    <w:rsid w:val="00F26E87"/>
    <w:rsid w:val="00F31CEB"/>
    <w:rsid w:val="00F35644"/>
    <w:rsid w:val="00F4134B"/>
    <w:rsid w:val="00F4164E"/>
    <w:rsid w:val="00F54DD0"/>
    <w:rsid w:val="00F57444"/>
    <w:rsid w:val="00F576AE"/>
    <w:rsid w:val="00F726FF"/>
    <w:rsid w:val="00F73B22"/>
    <w:rsid w:val="00F746DB"/>
    <w:rsid w:val="00F824C6"/>
    <w:rsid w:val="00FA59FE"/>
    <w:rsid w:val="00FC4500"/>
    <w:rsid w:val="00FD0654"/>
    <w:rsid w:val="00FD1A0A"/>
    <w:rsid w:val="00FD5519"/>
    <w:rsid w:val="00FE5D2E"/>
    <w:rsid w:val="00FF3133"/>
    <w:rsid w:val="019CF753"/>
    <w:rsid w:val="0330063B"/>
    <w:rsid w:val="05836904"/>
    <w:rsid w:val="06687CE4"/>
    <w:rsid w:val="10F1E552"/>
    <w:rsid w:val="110B0DAF"/>
    <w:rsid w:val="115C8B93"/>
    <w:rsid w:val="119E178E"/>
    <w:rsid w:val="14B39901"/>
    <w:rsid w:val="164F6962"/>
    <w:rsid w:val="17D1DBCA"/>
    <w:rsid w:val="1895CCE2"/>
    <w:rsid w:val="1C60BF5D"/>
    <w:rsid w:val="228095A4"/>
    <w:rsid w:val="24479764"/>
    <w:rsid w:val="2703C298"/>
    <w:rsid w:val="273FF226"/>
    <w:rsid w:val="2741A6C5"/>
    <w:rsid w:val="277F3826"/>
    <w:rsid w:val="2D7058AB"/>
    <w:rsid w:val="2EEE914D"/>
    <w:rsid w:val="2F31DBAE"/>
    <w:rsid w:val="32C1EACD"/>
    <w:rsid w:val="34B547C5"/>
    <w:rsid w:val="353026AE"/>
    <w:rsid w:val="36FBED56"/>
    <w:rsid w:val="3B7C8E22"/>
    <w:rsid w:val="3C109452"/>
    <w:rsid w:val="3EEEEADD"/>
    <w:rsid w:val="454737A9"/>
    <w:rsid w:val="473D4EFF"/>
    <w:rsid w:val="47EF342C"/>
    <w:rsid w:val="48F6CF44"/>
    <w:rsid w:val="4C2E7006"/>
    <w:rsid w:val="52099883"/>
    <w:rsid w:val="54A3678D"/>
    <w:rsid w:val="54BC60F4"/>
    <w:rsid w:val="57582FEC"/>
    <w:rsid w:val="5BC01857"/>
    <w:rsid w:val="64D5DB9C"/>
    <w:rsid w:val="66C610AC"/>
    <w:rsid w:val="6A41796D"/>
    <w:rsid w:val="6B99B76B"/>
    <w:rsid w:val="6B9F44D4"/>
    <w:rsid w:val="6CBC7DE0"/>
    <w:rsid w:val="719FFBE5"/>
    <w:rsid w:val="7AAE0DCE"/>
    <w:rsid w:val="7B2DB5CE"/>
    <w:rsid w:val="7C669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B66151"/>
  <w15:chartTrackingRefBased/>
  <w15:docId w15:val="{4ECCB7B7-EBB8-4A32-A592-DDEB4E7C0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0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170FD"/>
    <w:pPr>
      <w:spacing w:after="0" w:line="240" w:lineRule="auto"/>
    </w:pPr>
    <w:rPr>
      <w:rFonts w:ascii="Arial" w:hAnsi="Arial" w:eastAsia="Times New Roman" w:cs="Times New Roman"/>
      <w:lang w:eastAsia="de-DE"/>
    </w:rPr>
  </w:style>
  <w:style w:type="paragraph" w:styleId="Ttulo1">
    <w:name w:val="heading 1"/>
    <w:basedOn w:val="Normal"/>
    <w:next w:val="Normal"/>
    <w:link w:val="Ttulo1Car"/>
    <w:uiPriority w:val="9"/>
    <w:qFormat/>
    <w:rsid w:val="00A0106A"/>
    <w:pPr>
      <w:keepNext/>
      <w:keepLines/>
      <w:spacing w:before="240"/>
      <w:outlineLvl w:val="0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1170FD"/>
    <w:pPr>
      <w:keepNext/>
      <w:pBdr>
        <w:bottom w:val="single" w:color="auto" w:sz="6" w:space="1"/>
      </w:pBdr>
      <w:ind w:left="708" w:right="1418" w:hanging="708"/>
      <w:jc w:val="both"/>
      <w:outlineLvl w:val="3"/>
    </w:pPr>
    <w:rPr>
      <w:rFonts w:ascii="Times New Roman" w:hAnsi="Times New Roman"/>
      <w:sz w:val="24"/>
      <w:szCs w:val="20"/>
      <w:lang w:val="es-ES_tradnl" w:eastAsia="es-ES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character" w:styleId="Ttulo4Car" w:customStyle="1">
    <w:name w:val="Título 4 Car"/>
    <w:basedOn w:val="Fuentedeprrafopredeter"/>
    <w:link w:val="Ttulo4"/>
    <w:semiHidden/>
    <w:rsid w:val="001170FD"/>
    <w:rPr>
      <w:rFonts w:ascii="Times New Roman" w:hAnsi="Times New Roman" w:eastAsia="Times New Roman" w:cs="Times New Roman"/>
      <w:sz w:val="24"/>
      <w:szCs w:val="20"/>
      <w:lang w:val="es-ES_tradnl" w:eastAsia="es-ES"/>
    </w:rPr>
  </w:style>
  <w:style w:type="character" w:styleId="Hipervnculo">
    <w:name w:val="Hyperlink"/>
    <w:unhideWhenUsed/>
    <w:rsid w:val="001170FD"/>
    <w:rPr>
      <w:color w:val="0000FF"/>
      <w:u w:val="single"/>
    </w:rPr>
  </w:style>
  <w:style w:type="paragraph" w:styleId="Textoindependiente">
    <w:name w:val="Body Text"/>
    <w:basedOn w:val="Normal"/>
    <w:link w:val="TextoindependienteCar"/>
    <w:semiHidden/>
    <w:unhideWhenUsed/>
    <w:rsid w:val="001170FD"/>
    <w:rPr>
      <w:rFonts w:ascii="Times New Roman" w:hAnsi="Times New Roman"/>
      <w:i/>
      <w:iCs/>
      <w:sz w:val="24"/>
      <w:szCs w:val="24"/>
      <w:lang w:val="en-GB" w:eastAsia="en-US"/>
    </w:rPr>
  </w:style>
  <w:style w:type="character" w:styleId="TextoindependienteCar" w:customStyle="1">
    <w:name w:val="Texto independiente Car"/>
    <w:basedOn w:val="Fuentedeprrafopredeter"/>
    <w:link w:val="Textoindependiente"/>
    <w:semiHidden/>
    <w:rsid w:val="001170FD"/>
    <w:rPr>
      <w:rFonts w:ascii="Times New Roman" w:hAnsi="Times New Roman" w:eastAsia="Times New Roman" w:cs="Times New Roman"/>
      <w:i/>
      <w:iCs/>
      <w:sz w:val="24"/>
      <w:szCs w:val="24"/>
      <w:lang w:val="en-GB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70835"/>
    <w:rPr>
      <w:rFonts w:ascii="Segoe UI" w:hAnsi="Segoe UI" w:cs="Segoe UI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rsid w:val="00C70835"/>
    <w:rPr>
      <w:rFonts w:ascii="Segoe UI" w:hAnsi="Segoe UI" w:eastAsia="Times New Roman" w:cs="Segoe UI"/>
      <w:sz w:val="18"/>
      <w:szCs w:val="18"/>
      <w:lang w:eastAsia="de-DE"/>
    </w:rPr>
  </w:style>
  <w:style w:type="character" w:styleId="Refdecomentario">
    <w:name w:val="annotation reference"/>
    <w:basedOn w:val="Fuentedeprrafopredeter"/>
    <w:uiPriority w:val="99"/>
    <w:semiHidden/>
    <w:unhideWhenUsed/>
    <w:rsid w:val="006A0A7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6A0A78"/>
    <w:rPr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rsid w:val="006A0A78"/>
    <w:rPr>
      <w:rFonts w:ascii="Arial" w:hAnsi="Arial" w:eastAsia="Times New Roman" w:cs="Times New Roman"/>
      <w:sz w:val="20"/>
      <w:szCs w:val="20"/>
      <w:lang w:eastAsia="de-D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A0A78"/>
    <w:rPr>
      <w:b/>
      <w:bCs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/>
    <w:rsid w:val="006A0A78"/>
    <w:rPr>
      <w:rFonts w:ascii="Arial" w:hAnsi="Arial" w:eastAsia="Times New Roman" w:cs="Times New Roman"/>
      <w:b/>
      <w:bCs/>
      <w:sz w:val="20"/>
      <w:szCs w:val="20"/>
      <w:lang w:eastAsia="de-DE"/>
    </w:rPr>
  </w:style>
  <w:style w:type="paragraph" w:styleId="Encabezado">
    <w:name w:val="header"/>
    <w:basedOn w:val="Normal"/>
    <w:link w:val="EncabezadoCar"/>
    <w:unhideWhenUsed/>
    <w:rsid w:val="005A12DE"/>
    <w:pPr>
      <w:tabs>
        <w:tab w:val="center" w:pos="4252"/>
        <w:tab w:val="right" w:pos="8504"/>
      </w:tabs>
    </w:pPr>
  </w:style>
  <w:style w:type="character" w:styleId="EncabezadoCar" w:customStyle="1">
    <w:name w:val="Encabezado Car"/>
    <w:basedOn w:val="Fuentedeprrafopredeter"/>
    <w:link w:val="Encabezado"/>
    <w:rsid w:val="005A12DE"/>
    <w:rPr>
      <w:rFonts w:ascii="Arial" w:hAnsi="Arial" w:eastAsia="Times New Roman" w:cs="Times New Roman"/>
      <w:lang w:eastAsia="de-DE"/>
    </w:rPr>
  </w:style>
  <w:style w:type="paragraph" w:styleId="Piedepgina">
    <w:name w:val="footer"/>
    <w:basedOn w:val="Normal"/>
    <w:link w:val="PiedepginaCar"/>
    <w:uiPriority w:val="99"/>
    <w:unhideWhenUsed/>
    <w:rsid w:val="005A12DE"/>
    <w:pPr>
      <w:tabs>
        <w:tab w:val="center" w:pos="4252"/>
        <w:tab w:val="right" w:pos="8504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5A12DE"/>
    <w:rPr>
      <w:rFonts w:ascii="Arial" w:hAnsi="Arial" w:eastAsia="Times New Roman" w:cs="Times New Roman"/>
      <w:lang w:eastAsia="de-DE"/>
    </w:rPr>
  </w:style>
  <w:style w:type="paragraph" w:styleId="Arial14" w:customStyle="1">
    <w:name w:val="Arial 14"/>
    <w:basedOn w:val="Normal"/>
    <w:rsid w:val="005A12DE"/>
    <w:rPr>
      <w:rFonts w:ascii="Helv" w:hAnsi="Helv"/>
      <w:noProof/>
      <w:snapToGrid w:val="0"/>
      <w:sz w:val="28"/>
      <w:szCs w:val="20"/>
    </w:rPr>
  </w:style>
  <w:style w:type="paragraph" w:styleId="Revisin">
    <w:name w:val="Revision"/>
    <w:hidden/>
    <w:uiPriority w:val="99"/>
    <w:semiHidden/>
    <w:rsid w:val="0015356D"/>
    <w:pPr>
      <w:spacing w:after="0" w:line="240" w:lineRule="auto"/>
    </w:pPr>
    <w:rPr>
      <w:rFonts w:ascii="Arial" w:hAnsi="Arial" w:eastAsia="Times New Roman" w:cs="Times New Roman"/>
      <w:lang w:eastAsia="de-DE"/>
    </w:rPr>
  </w:style>
  <w:style w:type="paragraph" w:styleId="Prrafodelista">
    <w:name w:val="List Paragraph"/>
    <w:basedOn w:val="Normal"/>
    <w:uiPriority w:val="34"/>
    <w:qFormat/>
    <w:rsid w:val="00385340"/>
    <w:pPr>
      <w:ind w:left="720"/>
    </w:pPr>
    <w:rPr>
      <w:rFonts w:ascii="Calibri" w:hAnsi="Calibri" w:cs="Calibri" w:eastAsiaTheme="minorHAnsi"/>
      <w:lang w:eastAsia="en-US"/>
    </w:rPr>
  </w:style>
  <w:style w:type="character" w:styleId="Ttulo1Car" w:customStyle="1">
    <w:name w:val="Título 1 Car"/>
    <w:basedOn w:val="Fuentedeprrafopredeter"/>
    <w:link w:val="Ttulo1"/>
    <w:uiPriority w:val="9"/>
    <w:rsid w:val="00A0106A"/>
    <w:rPr>
      <w:rFonts w:asciiTheme="majorHAnsi" w:hAnsiTheme="majorHAnsi" w:eastAsiaTheme="majorEastAsia" w:cstheme="majorBidi"/>
      <w:color w:val="2E74B5" w:themeColor="accent1" w:themeShade="BF"/>
      <w:sz w:val="32"/>
      <w:szCs w:val="32"/>
      <w:lang w:eastAsia="de-DE"/>
    </w:rPr>
  </w:style>
  <w:style w:type="table" w:styleId="Tablaconcuadrcula">
    <w:name w:val="Table Grid"/>
    <w:basedOn w:val="Tablanormal"/>
    <w:uiPriority w:val="59"/>
    <w:rsid w:val="00AD3D92"/>
    <w:pPr>
      <w:spacing w:after="0" w:line="240" w:lineRule="auto"/>
    </w:pPr>
    <w:rPr>
      <w:sz w:val="18"/>
      <w:szCs w:val="18"/>
      <w:lang w:val="de-D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AZMeetingAgenda" w:customStyle="1">
    <w:name w:val="AZ Meeting Agenda"/>
    <w:basedOn w:val="Tablanormal"/>
    <w:uiPriority w:val="99"/>
    <w:rsid w:val="00AD3D92"/>
    <w:pPr>
      <w:spacing w:after="0" w:line="260" w:lineRule="exact"/>
    </w:pPr>
    <w:rPr>
      <w:sz w:val="20"/>
      <w:szCs w:val="18"/>
      <w:lang w:val="de-DE"/>
    </w:rPr>
    <w:tblPr>
      <w:tblBorders>
        <w:bottom w:val="single" w:color="auto" w:sz="2" w:space="0"/>
        <w:insideH w:val="single" w:color="auto" w:sz="2" w:space="0"/>
      </w:tblBorders>
      <w:tblCellMar>
        <w:top w:w="57" w:type="dxa"/>
        <w:bottom w:w="85" w:type="dxa"/>
      </w:tblCellMar>
    </w:tblPr>
    <w:tblStylePr w:type="firstRow">
      <w:rPr>
        <w:b/>
        <w:color w:val="44546A" w:themeColor="text2"/>
      </w:rPr>
      <w:tblPr>
        <w:tblCellMar>
          <w:top w:w="57" w:type="dxa"/>
          <w:left w:w="113" w:type="dxa"/>
          <w:bottom w:w="85" w:type="dxa"/>
          <w:right w:w="113" w:type="dxa"/>
        </w:tblCellMar>
      </w:tblPr>
    </w:tblStylePr>
  </w:style>
  <w:style w:type="paragraph" w:styleId="TextPM" w:customStyle="1">
    <w:name w:val="Text PM"/>
    <w:basedOn w:val="Normal"/>
    <w:rsid w:val="00AD3D92"/>
    <w:pPr>
      <w:spacing w:after="150"/>
    </w:pPr>
    <w:rPr>
      <w:szCs w:val="20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73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0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91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776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014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225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104768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0" w:color="EEEEEE"/>
                            <w:left w:val="single" w:sz="2" w:space="0" w:color="EEEEEE"/>
                            <w:bottom w:val="single" w:sz="2" w:space="0" w:color="EEEEEE"/>
                            <w:right w:val="single" w:sz="2" w:space="0" w:color="EEEEEE"/>
                          </w:divBdr>
                          <w:divsChild>
                            <w:div w:id="383065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4659352">
                              <w:marLeft w:val="0"/>
                              <w:marRight w:val="0"/>
                              <w:marTop w:val="10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085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595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453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439890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7203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0376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yperlink" Target="mailto:lorenz.weimann@allianz.com" TargetMode="External" Id="rId13" /><Relationship Type="http://schemas.openxmlformats.org/officeDocument/2006/relationships/customXml" Target="../customXml/item5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yperlink" Target="https://www.allianz.com/en/economic_research.html" TargetMode="Externa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https://www.allianz.com/en/economic_research/research-data/interactive-wealth-map.html" TargetMode="External" Id="rId11" /><Relationship Type="http://schemas.openxmlformats.org/officeDocument/2006/relationships/numbering" Target="numbering.xml" Id="rId5" /><Relationship Type="http://schemas.openxmlformats.org/officeDocument/2006/relationships/header" Target="header2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eader" Target="header1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d5361cd-dd21-42bb-ace1-e1b72dd4ac82" xsi:nil="true"/>
    <TaxCatchAll xmlns="9ff07a45-11f5-479e-a441-cd98a86709fe" xsi:nil="true"/>
    <PlaceOfOriginal xmlns="9ff07a45-11f5-479e-a441-cd98a86709fe" xsi:nil="true"/>
    <AlDescription xmlns="9ff07a45-11f5-479e-a441-cd98a86709fe" xsi:nil="true"/>
    <DossierStatus xmlns="9ff07a45-11f5-479e-a441-cd98a86709fe"/>
    <ContractManagers xmlns="9ff07a45-11f5-479e-a441-cd98a86709fe">
      <UserInfo>
        <DisplayName/>
        <AccountId xsi:nil="true"/>
        <AccountType/>
      </UserInfo>
    </ContractManagers>
    <OutsourcingAgreement xmlns="9ff07a45-11f5-479e-a441-cd98a86709fe" xsi:nil="true"/>
    <ContractDate xmlns="9ff07a45-11f5-479e-a441-cd98a86709fe" xsi:nil="true"/>
    <MaterialContract xmlns="9ff07a45-11f5-479e-a441-cd98a86709fe" xsi:nil="true"/>
    <ContractType xmlns="9ff07a45-11f5-479e-a441-cd98a86709fe"/>
    <ContractExpirationDate xmlns="9ff07a45-11f5-479e-a441-cd98a86709fe" xsi:nil="true"/>
    <ExternalContractingParties xmlns="9ff07a45-11f5-479e-a441-cd98a86709fe" xsi:nil="true"/>
    <DossierOwner xmlns="9ff07a45-11f5-479e-a441-cd98a86709fe">
      <UserInfo>
        <DisplayName/>
        <AccountId/>
        <AccountType/>
      </UserInfo>
    </DossierOwner>
    <ContractStatus xmlns="9ff07a45-11f5-479e-a441-cd98a86709fe">Sequía</ContractStatus>
    <l6856d4619ce496882360609f9fc1dec xmlns="9ff07a45-11f5-479e-a441-cd98a86709fe">
      <Terms xmlns="http://schemas.microsoft.com/office/infopath/2007/PartnerControls"/>
    </l6856d4619ce496882360609f9fc1dec>
    <_dlc_DocIdUrl xmlns="9ff07a45-11f5-479e-a441-cd98a86709fe">
      <Url>https://allianzms.sharepoint.com/teams/ES0006-3163019/_layouts/15/DocIdRedir.aspx?ID=XU7P7SY2DP3Q-491014520-156237</Url>
      <Description>XU7P7SY2DP3Q-491014520-156237</Description>
    </_dlc_DocIdUrl>
    <_dlc_DocId xmlns="9ff07a45-11f5-479e-a441-cd98a86709fe">XU7P7SY2DP3Q-491014520-156237</_dlc_Doc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 de contrato para retención" ma:contentTypeID="0x010100D45E6E72D8714CC7944D4D047D7ED38D00F4A4AB4938F61541A37297F5A676FA57" ma:contentTypeVersion="20" ma:contentTypeDescription="Documento de contrato para retención" ma:contentTypeScope="" ma:versionID="00eec27d6b53cf783505345a5bc9b461">
  <xsd:schema xmlns:xsd="http://www.w3.org/2001/XMLSchema" xmlns:xs="http://www.w3.org/2001/XMLSchema" xmlns:p="http://schemas.microsoft.com/office/2006/metadata/properties" xmlns:ns2="9ff07a45-11f5-479e-a441-cd98a86709fe" xmlns:ns3="5d5361cd-dd21-42bb-ace1-e1b72dd4ac82" targetNamespace="http://schemas.microsoft.com/office/2006/metadata/properties" ma:root="true" ma:fieldsID="467730e9f1db25cd3fe1760bcd460a58" ns2:_="" ns3:_="">
    <xsd:import namespace="9ff07a45-11f5-479e-a441-cd98a86709fe"/>
    <xsd:import namespace="5d5361cd-dd21-42bb-ace1-e1b72dd4ac82"/>
    <xsd:element name="properties">
      <xsd:complexType>
        <xsd:sequence>
          <xsd:element name="documentManagement">
            <xsd:complexType>
              <xsd:all>
                <xsd:element ref="ns2:ContractType"/>
                <xsd:element ref="ns2:ContractStatus"/>
                <xsd:element ref="ns2:ContractManagers" minOccurs="0"/>
                <xsd:element ref="ns2:OutsourcingAgreement" minOccurs="0"/>
                <xsd:element ref="ns2:AlDescription" minOccurs="0"/>
                <xsd:element ref="ns2:ContractDate" minOccurs="0"/>
                <xsd:element ref="ns2:ContractExpirationDate" minOccurs="0"/>
                <xsd:element ref="ns2:MaterialContract" minOccurs="0"/>
                <xsd:element ref="ns2:ExternalContractingParties" minOccurs="0"/>
                <xsd:element ref="ns2:PlaceOfOriginal" minOccurs="0"/>
                <xsd:element ref="ns3:lcf76f155ced4ddcb4097134ff3c332f" minOccurs="0"/>
                <xsd:element ref="ns2:TaxCatchAll" minOccurs="0"/>
                <xsd:element ref="ns2:_dlc_DocId" minOccurs="0"/>
                <xsd:element ref="ns2:_dlc_DocIdUrl" minOccurs="0"/>
                <xsd:element ref="ns2:_dlc_DocIdPersistId" minOccurs="0"/>
                <xsd:element ref="ns2:l6856d4619ce496882360609f9fc1dec" minOccurs="0"/>
                <xsd:element ref="ns2:DossierOwner"/>
                <xsd:element ref="ns2:DossierStatus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f07a45-11f5-479e-a441-cd98a86709fe" elementFormDefault="qualified">
    <xsd:import namespace="http://schemas.microsoft.com/office/2006/documentManagement/types"/>
    <xsd:import namespace="http://schemas.microsoft.com/office/infopath/2007/PartnerControls"/>
    <xsd:element name="ContractType" ma:index="2" ma:displayName="Tipo de contrato" ma:description="Atributo para clasificar el contrato. Seleccione un valor entre tipos de contrato estándar o tipos de contrato especiales." ma:format="Dropdown" ma:internalName="ContractType">
      <xsd:simpleType>
        <xsd:restriction base="dms:Choice">
          <xsd:enumeration value="Tipos de contratos estándar (Seleccione de abajp):"/>
          <xsd:enumeration value="-----------------------"/>
          <xsd:enumeration value="Acuerdo de servicio, Acuerdo de nivel de servicio"/>
          <xsd:enumeration value="Acuerdo de compra (compras y ventas)"/>
          <xsd:enumeration value="Acuerdo de prestamo"/>
          <xsd:enumeration value="Acuerdo de confidencialidad"/>
          <xsd:enumeration value="Acuerdo de cooperación"/>
          <xsd:enumeration value="Carta de Intención, Memorando de Entendimiento"/>
          <xsd:enumeration value="Contrato de seguro"/>
          <xsd:enumeration value="Garantía, Carta de Confort, Carta de Crédito"/>
          <xsd:enumeration value="Otro"/>
          <xsd:enumeration value="-----------------------"/>
          <xsd:enumeration value="Tipos de contratos especiales (Seleccione de abajp):"/>
          <xsd:enumeration value="-----------------------"/>
          <xsd:enumeration value="Acuerdo de empleo"/>
          <xsd:enumeration value="Contrato de alquiler o arrendamiento"/>
          <xsd:enumeration value="Acuerdo de licencia"/>
          <xsd:enumeration value="Acuerdo de privacidad"/>
          <xsd:enumeration value="Acuerdo de agencia (agente vinculado)"/>
          <xsd:enumeration value="Acuerdo de corretaje (corredor)"/>
          <xsd:enumeration value="Acuerdo de distribución"/>
          <xsd:enumeration value="Empleador - Comité de empresa / Acuerdo sindical"/>
          <xsd:enumeration value="Acuerdo de inversión o financiamiento"/>
          <xsd:enumeration value="Contrato de resaseguro"/>
          <xsd:enumeration value="Acuerdo de accionistas"/>
          <xsd:enumeration value="Contrato de control o transferencia de beneficios"/>
          <xsd:enumeration value="Acuerdo de empresa conjunta"/>
          <xsd:enumeration value="Acuerdo de confianza"/>
          <xsd:enumeration value="Acuerdo de compraventa / fusión de acciones o empresas"/>
          <xsd:enumeration value="Contrato con un miembro del Consejo de Administración o del Consejo de Supervisión"/>
        </xsd:restriction>
      </xsd:simpleType>
    </xsd:element>
    <xsd:element name="ContractStatus" ma:index="3" ma:displayName="Estado del contrato" ma:default="Sequía" ma:description="El estado del contrato." ma:format="Dropdown" ma:internalName="ContractStatus">
      <xsd:simpleType>
        <xsd:restriction base="dms:Choice">
          <xsd:enumeration value="Sequía"/>
          <xsd:enumeration value="Activo"/>
          <xsd:enumeration value="Terminado"/>
        </xsd:restriction>
      </xsd:simpleType>
    </xsd:element>
    <xsd:element name="ContractManagers" ma:index="4" nillable="true" ma:displayName="Gestores del contrato" ma:description="Persona(s) que gestionan el contrato y conocen los detalles." ma:list="UserInfo" ma:internalName="ContractManagers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OutsourcingAgreement" ma:index="5" nillable="true" ma:displayName="Acuerdo de subcontratacion" ma:description="Si un contrato es de subcontratacion en el sentido de la Politica de Subcontratacion del Grupo, el dosier necesita ser marcado como tal." ma:format="Dropdown" ma:internalName="OutsourcingAgreement" ma:readOnly="false">
      <xsd:simpleType>
        <xsd:restriction base="dms:Boolean"/>
      </xsd:simpleType>
    </xsd:element>
    <xsd:element name="AlDescription" ma:index="6" nillable="true" ma:displayName="Descripción del documento" ma:description="Ingrese descripciones o comentarios sobre el asunto si es necesario." ma:internalName="AlDescription">
      <xsd:simpleType>
        <xsd:restriction base="dms:Text"/>
      </xsd:simpleType>
    </xsd:element>
    <xsd:element name="ContractDate" ma:index="7" nillable="true" ma:displayName="Fecha del contrato" ma:description="Fecha de celebración del contrato." ma:format="DateOnly" ma:internalName="ContractDate">
      <xsd:simpleType>
        <xsd:restriction base="dms:DateTime"/>
      </xsd:simpleType>
    </xsd:element>
    <xsd:element name="ContractExpirationDate" ma:index="8" nillable="true" ma:displayName="Fecha de expiración" ma:description="Fecha cuando expira/ finaliza el contrato." ma:format="DateOnly" ma:internalName="ContractExpirationDate">
      <xsd:simpleType>
        <xsd:restriction base="dms:DateTime"/>
      </xsd:simpleType>
    </xsd:element>
    <xsd:element name="MaterialContract" ma:index="9" nillable="true" ma:displayName="Contrato con umbral materal" ma:description="Identificar si el contrato tiene umbral material." ma:format="Dropdown" ma:internalName="MaterialContract">
      <xsd:simpleType>
        <xsd:restriction base="dms:Boolean"/>
      </xsd:simpleType>
    </xsd:element>
    <xsd:element name="ExternalContractingParties" ma:index="10" nillable="true" ma:displayName="Partes contratantes externas" ma:description="Nombre(s) de las partes contratantes externas." ma:internalName="ExternalContractingParties">
      <xsd:simpleType>
        <xsd:restriction base="dms:Text"/>
      </xsd:simpleType>
    </xsd:element>
    <xsd:element name="PlaceOfOriginal" ma:index="11" nillable="true" ma:displayName="Lugar de la copia original" ma:description="En caso que se mantenga una copia original en papel del contrato, indiquese el lugar donde se conserva aqui." ma:internalName="PlaceOfOriginal">
      <xsd:simpleType>
        <xsd:restriction base="dms:Text"/>
      </xsd:simpleType>
    </xsd:element>
    <xsd:element name="TaxCatchAll" ma:index="19" nillable="true" ma:displayName="Taxonomy Catch All Column" ma:hidden="true" ma:list="{b2ba0cfd-a642-482e-bf59-faef85f1cda4}" ma:internalName="TaxCatchAll" ma:showField="CatchAllData" ma:web="9ff07a45-11f5-479e-a441-cd98a86709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20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2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l6856d4619ce496882360609f9fc1dec" ma:index="23" nillable="true" ma:taxonomy="true" ma:internalName="l6856d4619ce496882360609f9fc1dec" ma:taxonomyFieldName="Contract_Type" ma:displayName="Tipo de contrato" ma:fieldId="{56856d46-19ce-4968-8236-0609f9fc1dec}" ma:sspId="10820af1-e82f-496e-bbcb-d9502914b7b2" ma:termSetId="70805c8f-f58a-429f-b5cb-62c5b6dc552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ssierOwner" ma:index="25" ma:displayName="Propietario(s) del expediente" ma:description="Persona(s) propietarias del expediente." ma:internalName="Dossier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ssierStatus" ma:index="26" ma:displayName="Estado del expediente" ma:default="" ma:description="Indica el estatus del dosier." ma:format="Dropdown" ma:internalName="DossierStatus">
      <xsd:simpleType>
        <xsd:restriction base="dms:Choice">
          <xsd:enumeration value="Abierto"/>
          <xsd:enumeration value="Cerrado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5361cd-dd21-42bb-ace1-e1b72dd4ac8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8" nillable="true" ma:displayName="Image Tags_0" ma:hidden="true" ma:internalName="lcf76f155ced4ddcb4097134ff3c332f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9C261338-D484-4226-BF05-579843A90FF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92965FC-626F-4361-B39E-590CDE8F4C7C}">
  <ds:schemaRefs>
    <ds:schemaRef ds:uri="http://schemas.microsoft.com/office/2006/metadata/properties"/>
    <ds:schemaRef ds:uri="http://schemas.microsoft.com/office/infopath/2007/PartnerControls"/>
    <ds:schemaRef ds:uri="012217d6-fa2d-4252-bcd9-57041eb1a1c4"/>
    <ds:schemaRef ds:uri="2b6cbe70-0c33-48c9-8214-7f84aa4386b5"/>
  </ds:schemaRefs>
</ds:datastoreItem>
</file>

<file path=customXml/itemProps3.xml><?xml version="1.0" encoding="utf-8"?>
<ds:datastoreItem xmlns:ds="http://schemas.openxmlformats.org/officeDocument/2006/customXml" ds:itemID="{35078774-6B9E-43F3-82FB-D47790F14CB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FB90F07-7D0E-4A5E-9E90-6FD0DCEEDAEE}"/>
</file>

<file path=customXml/itemProps5.xml><?xml version="1.0" encoding="utf-8"?>
<ds:datastoreItem xmlns:ds="http://schemas.openxmlformats.org/officeDocument/2006/customXml" ds:itemID="{AF0EC110-E05C-4279-8B18-E8CB2423ABF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Allianz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Rodriguez Mosquera, Sonia</dc:creator>
  <keywords/>
  <dc:description/>
  <lastModifiedBy>Rodriguez Mosquera, Sonia (Allianz Compania de Seguros y Reaseguros S.A.)</lastModifiedBy>
  <revision>143</revision>
  <lastPrinted>2017-11-11T14:33:00.0000000Z</lastPrinted>
  <dcterms:created xsi:type="dcterms:W3CDTF">2023-05-24T18:18:00.0000000Z</dcterms:created>
  <dcterms:modified xsi:type="dcterms:W3CDTF">2023-09-26T09:58:12.2493254Z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tadata">
    <vt:lpwstr>b7988hualzfd</vt:lpwstr>
  </property>
  <property fmtid="{D5CDD505-2E9C-101B-9397-08002B2CF9AE}" pid="3" name="OfficeDocumentSecurity_20102017114323">
    <vt:lpwstr>20102017114323;E105254;0</vt:lpwstr>
  </property>
  <property fmtid="{D5CDD505-2E9C-101B-9397-08002B2CF9AE}" pid="4" name="OfficeDocumentSecurity_20102017124558">
    <vt:lpwstr>20102017124558;E105254;0</vt:lpwstr>
  </property>
  <property fmtid="{D5CDD505-2E9C-101B-9397-08002B2CF9AE}" pid="5" name="OfficeDocumentSecurity_20102017125625">
    <vt:lpwstr>20102017125625;E105254;0</vt:lpwstr>
  </property>
  <property fmtid="{D5CDD505-2E9C-101B-9397-08002B2CF9AE}" pid="6" name="OfficeDocumentSecurity_20102017130030">
    <vt:lpwstr>20102017130030;E105254;0</vt:lpwstr>
  </property>
  <property fmtid="{D5CDD505-2E9C-101B-9397-08002B2CF9AE}" pid="7" name="OfficeDocumentSecurity_20102017130539">
    <vt:lpwstr>20102017130539;E105254;0</vt:lpwstr>
  </property>
  <property fmtid="{D5CDD505-2E9C-101B-9397-08002B2CF9AE}" pid="8" name="OfficeDocumentSecurity_20102017131007">
    <vt:lpwstr>20102017131007;E105254;0</vt:lpwstr>
  </property>
  <property fmtid="{D5CDD505-2E9C-101B-9397-08002B2CF9AE}" pid="9" name="OfficeDocumentSecurity_20102017132028">
    <vt:lpwstr>20102017132028;E105254;0</vt:lpwstr>
  </property>
  <property fmtid="{D5CDD505-2E9C-101B-9397-08002B2CF9AE}" pid="10" name="OfficeDocumentSecurity_20102017132115">
    <vt:lpwstr>20102017132115;E105254;0</vt:lpwstr>
  </property>
  <property fmtid="{D5CDD505-2E9C-101B-9397-08002B2CF9AE}" pid="11" name="OfficeDocumentSecurity_20102017132611">
    <vt:lpwstr>20102017132611;E105254;0</vt:lpwstr>
  </property>
  <property fmtid="{D5CDD505-2E9C-101B-9397-08002B2CF9AE}" pid="12" name="OfficeDocumentSecurity_20102017132951">
    <vt:lpwstr>20102017132951;E105254;0</vt:lpwstr>
  </property>
  <property fmtid="{D5CDD505-2E9C-101B-9397-08002B2CF9AE}" pid="13" name="OfficeDocumentSecurity_20102017135102">
    <vt:lpwstr>20102017135102;E105254;0</vt:lpwstr>
  </property>
  <property fmtid="{D5CDD505-2E9C-101B-9397-08002B2CF9AE}" pid="14" name="OfficeDocumentSecurity_20102017135826">
    <vt:lpwstr>20102017135826;E105254;0</vt:lpwstr>
  </property>
  <property fmtid="{D5CDD505-2E9C-101B-9397-08002B2CF9AE}" pid="15" name="OfficeDocumentSecurity_20102017140102">
    <vt:lpwstr>20102017140102;E105254;0</vt:lpwstr>
  </property>
  <property fmtid="{D5CDD505-2E9C-101B-9397-08002B2CF9AE}" pid="16" name="OfficeDocumentSecurity_20102017140404">
    <vt:lpwstr>20102017140404;E105254;0</vt:lpwstr>
  </property>
  <property fmtid="{D5CDD505-2E9C-101B-9397-08002B2CF9AE}" pid="17" name="OfficeDocumentSecurity_26102017124538">
    <vt:lpwstr>26102017124538;E105254;0</vt:lpwstr>
  </property>
  <property fmtid="{D5CDD505-2E9C-101B-9397-08002B2CF9AE}" pid="18" name="OfficeDocumentSecurity_26102017125506">
    <vt:lpwstr>26102017125506;E105254;0</vt:lpwstr>
  </property>
  <property fmtid="{D5CDD505-2E9C-101B-9397-08002B2CF9AE}" pid="19" name="OfficeDocumentSecurity_26102017130017">
    <vt:lpwstr>26102017130017;E105254;0</vt:lpwstr>
  </property>
  <property fmtid="{D5CDD505-2E9C-101B-9397-08002B2CF9AE}" pid="20" name="OfficeDocumentSecurity_26102017130339">
    <vt:lpwstr>26102017130339;E105254;0</vt:lpwstr>
  </property>
  <property fmtid="{D5CDD505-2E9C-101B-9397-08002B2CF9AE}" pid="21" name="OfficeDocumentSecurity_26102017131036">
    <vt:lpwstr>26102017131036;E105254;0</vt:lpwstr>
  </property>
  <property fmtid="{D5CDD505-2E9C-101B-9397-08002B2CF9AE}" pid="22" name="OfficeDocumentSecurity_26102017131349">
    <vt:lpwstr>26102017131349;E105254;0</vt:lpwstr>
  </property>
  <property fmtid="{D5CDD505-2E9C-101B-9397-08002B2CF9AE}" pid="23" name="OfficeDocumentSecurity_26102017131730">
    <vt:lpwstr>26102017131730;E105254;0</vt:lpwstr>
  </property>
  <property fmtid="{D5CDD505-2E9C-101B-9397-08002B2CF9AE}" pid="24" name="OfficeDocumentSecurity_26102017132341">
    <vt:lpwstr>26102017132341;E105254;0</vt:lpwstr>
  </property>
  <property fmtid="{D5CDD505-2E9C-101B-9397-08002B2CF9AE}" pid="25" name="OfficeDocumentSecurity_26102017132504">
    <vt:lpwstr>26102017132504;E105254;0</vt:lpwstr>
  </property>
  <property fmtid="{D5CDD505-2E9C-101B-9397-08002B2CF9AE}" pid="26" name="OfficeDocumentSecurity_26102017133806">
    <vt:lpwstr>26102017133806;E105254;0</vt:lpwstr>
  </property>
  <property fmtid="{D5CDD505-2E9C-101B-9397-08002B2CF9AE}" pid="27" name="OfficeDocumentSecurity_26102017135127">
    <vt:lpwstr>26102017135127;E105254;0</vt:lpwstr>
  </property>
  <property fmtid="{D5CDD505-2E9C-101B-9397-08002B2CF9AE}" pid="28" name="OfficeDocumentSecurity_26102017135244">
    <vt:lpwstr>26102017135244;E105254;0</vt:lpwstr>
  </property>
  <property fmtid="{D5CDD505-2E9C-101B-9397-08002B2CF9AE}" pid="29" name="OfficeDocumentSecurity_26102017153255">
    <vt:lpwstr>26102017153255;E105254;0</vt:lpwstr>
  </property>
  <property fmtid="{D5CDD505-2E9C-101B-9397-08002B2CF9AE}" pid="30" name="OfficeDocumentSecurity_26102017153945">
    <vt:lpwstr>26102017153945;E105254;0</vt:lpwstr>
  </property>
  <property fmtid="{D5CDD505-2E9C-101B-9397-08002B2CF9AE}" pid="31" name="OfficeDocumentSecurity_26102017154811">
    <vt:lpwstr>26102017154811;E105254;0</vt:lpwstr>
  </property>
  <property fmtid="{D5CDD505-2E9C-101B-9397-08002B2CF9AE}" pid="32" name="OfficeDocumentSecurity_26102017154951">
    <vt:lpwstr>26102017154951;E105254;0</vt:lpwstr>
  </property>
  <property fmtid="{D5CDD505-2E9C-101B-9397-08002B2CF9AE}" pid="33" name="OfficeDocumentSecurity_26102017155421">
    <vt:lpwstr>26102017155421;E105254;0</vt:lpwstr>
  </property>
  <property fmtid="{D5CDD505-2E9C-101B-9397-08002B2CF9AE}" pid="34" name="OfficeDocumentSecurity_26102017155435">
    <vt:lpwstr>26102017155435;E105254;0</vt:lpwstr>
  </property>
  <property fmtid="{D5CDD505-2E9C-101B-9397-08002B2CF9AE}" pid="35" name="OfficeDocumentSecurity_26102017155730">
    <vt:lpwstr>26102017155730;E105254;0</vt:lpwstr>
  </property>
  <property fmtid="{D5CDD505-2E9C-101B-9397-08002B2CF9AE}" pid="36" name="OfficeDocumentSecurity_26102017155954">
    <vt:lpwstr>26102017155954;E105254;0</vt:lpwstr>
  </property>
  <property fmtid="{D5CDD505-2E9C-101B-9397-08002B2CF9AE}" pid="37" name="OfficeDocumentSecurity_26102017160645">
    <vt:lpwstr>26102017160645;E105254;0</vt:lpwstr>
  </property>
  <property fmtid="{D5CDD505-2E9C-101B-9397-08002B2CF9AE}" pid="38" name="OfficeDocumentSecurity_26102017161104">
    <vt:lpwstr>26102017161104;E105254;0</vt:lpwstr>
  </property>
  <property fmtid="{D5CDD505-2E9C-101B-9397-08002B2CF9AE}" pid="39" name="OfficeDocumentSecurity_26102017162003">
    <vt:lpwstr>26102017162003;E105254;0</vt:lpwstr>
  </property>
  <property fmtid="{D5CDD505-2E9C-101B-9397-08002B2CF9AE}" pid="40" name="OfficeDocumentSecurity_26102017163906">
    <vt:lpwstr>26102017163906;E105254;0</vt:lpwstr>
  </property>
  <property fmtid="{D5CDD505-2E9C-101B-9397-08002B2CF9AE}" pid="41" name="OfficeDocumentSecurity_26102017164756">
    <vt:lpwstr>26102017164756;E105254;0</vt:lpwstr>
  </property>
  <property fmtid="{D5CDD505-2E9C-101B-9397-08002B2CF9AE}" pid="42" name="OfficeDocumentSecurity_26102017165309">
    <vt:lpwstr>26102017165309;E105254;0</vt:lpwstr>
  </property>
  <property fmtid="{D5CDD505-2E9C-101B-9397-08002B2CF9AE}" pid="43" name="OfficeDocumentSecurity_26102017165521">
    <vt:lpwstr>26102017165521;E105254;0</vt:lpwstr>
  </property>
  <property fmtid="{D5CDD505-2E9C-101B-9397-08002B2CF9AE}" pid="44" name="OfficeDocumentSecurity_26102017170849">
    <vt:lpwstr>26102017170849;E105254;0</vt:lpwstr>
  </property>
  <property fmtid="{D5CDD505-2E9C-101B-9397-08002B2CF9AE}" pid="45" name="OfficeDocumentSecurity_26102017171109">
    <vt:lpwstr>26102017171109;E105254;0</vt:lpwstr>
  </property>
  <property fmtid="{D5CDD505-2E9C-101B-9397-08002B2CF9AE}" pid="46" name="OfficeDocumentSecurity_26102017171430">
    <vt:lpwstr>26102017171430;E105254;0</vt:lpwstr>
  </property>
  <property fmtid="{D5CDD505-2E9C-101B-9397-08002B2CF9AE}" pid="47" name="OfficeDocumentSecurity_26102017171451">
    <vt:lpwstr>26102017171451;E105254;0</vt:lpwstr>
  </property>
  <property fmtid="{D5CDD505-2E9C-101B-9397-08002B2CF9AE}" pid="48" name="OfficeDocumentSecurity_26102017171853">
    <vt:lpwstr>26102017171853;E105254;0</vt:lpwstr>
  </property>
  <property fmtid="{D5CDD505-2E9C-101B-9397-08002B2CF9AE}" pid="49" name="OfficeDocumentSecurity_26102017171857">
    <vt:lpwstr>26102017171857;E105254;0</vt:lpwstr>
  </property>
  <property fmtid="{D5CDD505-2E9C-101B-9397-08002B2CF9AE}" pid="50" name="OfficeDocumentSecurity_27102017114529">
    <vt:lpwstr>27102017114529;E105254;0</vt:lpwstr>
  </property>
  <property fmtid="{D5CDD505-2E9C-101B-9397-08002B2CF9AE}" pid="51" name="OfficeDocumentSecurity_31102017122359">
    <vt:lpwstr>31102017122359;e006418;0</vt:lpwstr>
  </property>
  <property fmtid="{D5CDD505-2E9C-101B-9397-08002B2CF9AE}" pid="52" name="OfficeDocumentSecurity_31102017124359">
    <vt:lpwstr>31102017124359;e006418;0</vt:lpwstr>
  </property>
  <property fmtid="{D5CDD505-2E9C-101B-9397-08002B2CF9AE}" pid="53" name="OfficeDocumentSecurity_31102017133122">
    <vt:lpwstr>31102017133122;e006418;0</vt:lpwstr>
  </property>
  <property fmtid="{D5CDD505-2E9C-101B-9397-08002B2CF9AE}" pid="54" name="OfficeDocumentSecurity_31102017133642">
    <vt:lpwstr>31102017133642;e006418;0</vt:lpwstr>
  </property>
  <property fmtid="{D5CDD505-2E9C-101B-9397-08002B2CF9AE}" pid="55" name="OfficeDocumentSecurity_31102017133744">
    <vt:lpwstr>31102017133744;e006418;0</vt:lpwstr>
  </property>
  <property fmtid="{D5CDD505-2E9C-101B-9397-08002B2CF9AE}" pid="56" name="OfficeDocumentSecurity_31102017133845">
    <vt:lpwstr>31102017133845;e006418;0</vt:lpwstr>
  </property>
  <property fmtid="{D5CDD505-2E9C-101B-9397-08002B2CF9AE}" pid="57" name="OfficeDocumentSecurity_31102017133916">
    <vt:lpwstr>31102017133916;e006418;0</vt:lpwstr>
  </property>
  <property fmtid="{D5CDD505-2E9C-101B-9397-08002B2CF9AE}" pid="58" name="OfficeDocumentSecurity_31102017135918">
    <vt:lpwstr>31102017135918;E105254;0</vt:lpwstr>
  </property>
  <property fmtid="{D5CDD505-2E9C-101B-9397-08002B2CF9AE}" pid="59" name="OfficeDocumentSecurity_31102017140040">
    <vt:lpwstr>31102017140040;E105254;0</vt:lpwstr>
  </property>
  <property fmtid="{D5CDD505-2E9C-101B-9397-08002B2CF9AE}" pid="60" name="OfficeDocumentSecurity_31102017140315">
    <vt:lpwstr>31102017140315;E105254;0</vt:lpwstr>
  </property>
  <property fmtid="{D5CDD505-2E9C-101B-9397-08002B2CF9AE}" pid="61" name="OfficeDocumentSecurity_31102017140510">
    <vt:lpwstr>31102017140510;E105254;0</vt:lpwstr>
  </property>
  <property fmtid="{D5CDD505-2E9C-101B-9397-08002B2CF9AE}" pid="62" name="OfficeDocumentSecurity_31102017140537">
    <vt:lpwstr>31102017140537;E105254;0</vt:lpwstr>
  </property>
  <property fmtid="{D5CDD505-2E9C-101B-9397-08002B2CF9AE}" pid="63" name="OfficeDocumentSecurity_31102017160213">
    <vt:lpwstr>31102017160213;E105254;0</vt:lpwstr>
  </property>
  <property fmtid="{D5CDD505-2E9C-101B-9397-08002B2CF9AE}" pid="64" name="OfficeDocumentSecurity_31102017160445">
    <vt:lpwstr>31102017160445;E105254;0</vt:lpwstr>
  </property>
  <property fmtid="{D5CDD505-2E9C-101B-9397-08002B2CF9AE}" pid="65" name="OfficeDocumentSecurity_31102017160946">
    <vt:lpwstr>31102017160946;E105254;0</vt:lpwstr>
  </property>
  <property fmtid="{D5CDD505-2E9C-101B-9397-08002B2CF9AE}" pid="66" name="OfficeDocumentSecurity_31102017161449">
    <vt:lpwstr>31102017161449;E105254;0</vt:lpwstr>
  </property>
  <property fmtid="{D5CDD505-2E9C-101B-9397-08002B2CF9AE}" pid="67" name="OfficeDocumentSecurity_31102017161639">
    <vt:lpwstr>31102017161639;E105254;0</vt:lpwstr>
  </property>
  <property fmtid="{D5CDD505-2E9C-101B-9397-08002B2CF9AE}" pid="68" name="OfficeDocumentSecurity_31102017162044">
    <vt:lpwstr>31102017162044;E105254;0</vt:lpwstr>
  </property>
  <property fmtid="{D5CDD505-2E9C-101B-9397-08002B2CF9AE}" pid="69" name="OfficeDocumentSecurity_31102017162706">
    <vt:lpwstr>31102017162706;E105254;0</vt:lpwstr>
  </property>
  <property fmtid="{D5CDD505-2E9C-101B-9397-08002B2CF9AE}" pid="70" name="OfficeDocumentSecurity_31102017163205">
    <vt:lpwstr>31102017163205;E105254;0</vt:lpwstr>
  </property>
  <property fmtid="{D5CDD505-2E9C-101B-9397-08002B2CF9AE}" pid="71" name="OfficeDocumentSecurity_31102017163256">
    <vt:lpwstr>31102017163256;E105254;0</vt:lpwstr>
  </property>
  <property fmtid="{D5CDD505-2E9C-101B-9397-08002B2CF9AE}" pid="72" name="OfficeDocumentSecurity_31102017164207">
    <vt:lpwstr>31102017164207;E105254;0</vt:lpwstr>
  </property>
  <property fmtid="{D5CDD505-2E9C-101B-9397-08002B2CF9AE}" pid="73" name="OfficeDocumentSecurity_31102017164224">
    <vt:lpwstr>31102017164224;E105254;0</vt:lpwstr>
  </property>
  <property fmtid="{D5CDD505-2E9C-101B-9397-08002B2CF9AE}" pid="74" name="OfficeDocumentSecurity_31102017164622">
    <vt:lpwstr>31102017164622;E105254;0</vt:lpwstr>
  </property>
  <property fmtid="{D5CDD505-2E9C-101B-9397-08002B2CF9AE}" pid="75" name="OfficeDocumentSecurity_02112017110424">
    <vt:lpwstr>02112017110424;E105254;0</vt:lpwstr>
  </property>
  <property fmtid="{D5CDD505-2E9C-101B-9397-08002B2CF9AE}" pid="76" name="OfficeDocumentSecurity_07112017115722">
    <vt:lpwstr>07112017115722;e006418;0</vt:lpwstr>
  </property>
  <property fmtid="{D5CDD505-2E9C-101B-9397-08002B2CF9AE}" pid="77" name="OfficeDocumentSecurity_07112017121821">
    <vt:lpwstr>07112017121821;e006418;0</vt:lpwstr>
  </property>
  <property fmtid="{D5CDD505-2E9C-101B-9397-08002B2CF9AE}" pid="78" name="OfficeDocumentSecurity_07112017135735">
    <vt:lpwstr>07112017135735;e006418;0</vt:lpwstr>
  </property>
  <property fmtid="{D5CDD505-2E9C-101B-9397-08002B2CF9AE}" pid="79" name="OfficeDocumentSecurity_10112017123210">
    <vt:lpwstr>10112017123210;E105254;0</vt:lpwstr>
  </property>
  <property fmtid="{D5CDD505-2E9C-101B-9397-08002B2CF9AE}" pid="80" name="OfficeDocumentSecurity_10112017123333">
    <vt:lpwstr>10112017123333;E105254;0</vt:lpwstr>
  </property>
  <property fmtid="{D5CDD505-2E9C-101B-9397-08002B2CF9AE}" pid="81" name="OfficeDocumentSecurity_10112017124921">
    <vt:lpwstr>10112017124921;E105254;0</vt:lpwstr>
  </property>
  <property fmtid="{D5CDD505-2E9C-101B-9397-08002B2CF9AE}" pid="82" name="OfficeDocumentSecurity_13112017113403">
    <vt:lpwstr>13112017113403;e006418;0</vt:lpwstr>
  </property>
  <property fmtid="{D5CDD505-2E9C-101B-9397-08002B2CF9AE}" pid="83" name="OfficeDocumentSecurity_13112017113512">
    <vt:lpwstr>13112017113512;e006418;0</vt:lpwstr>
  </property>
  <property fmtid="{D5CDD505-2E9C-101B-9397-08002B2CF9AE}" pid="84" name="OfficeDocumentSecurity_14112017120836">
    <vt:lpwstr>14112017120836;E105254;0</vt:lpwstr>
  </property>
  <property fmtid="{D5CDD505-2E9C-101B-9397-08002B2CF9AE}" pid="85" name="OfficeDocumentSecurity_14112017121837">
    <vt:lpwstr>14112017121837;E105254;0</vt:lpwstr>
  </property>
  <property fmtid="{D5CDD505-2E9C-101B-9397-08002B2CF9AE}" pid="86" name="OfficeDocumentSecurity_14112017122900">
    <vt:lpwstr>14112017122900;E105254;0</vt:lpwstr>
  </property>
  <property fmtid="{D5CDD505-2E9C-101B-9397-08002B2CF9AE}" pid="87" name="OfficeDocumentSecurity_14112017123540">
    <vt:lpwstr>14112017123540;E105254;0</vt:lpwstr>
  </property>
  <property fmtid="{D5CDD505-2E9C-101B-9397-08002B2CF9AE}" pid="88" name="OfficeDocumentSecurity_14112017123842">
    <vt:lpwstr>14112017123842;e006418;0</vt:lpwstr>
  </property>
  <property fmtid="{D5CDD505-2E9C-101B-9397-08002B2CF9AE}" pid="89" name="OfficeDocumentSecurity_14112017124100">
    <vt:lpwstr>14112017124100;e006418;0</vt:lpwstr>
  </property>
  <property fmtid="{D5CDD505-2E9C-101B-9397-08002B2CF9AE}" pid="90" name="OfficeDocumentSecurity_20112017121042">
    <vt:lpwstr>20112017121042;E105254;0</vt:lpwstr>
  </property>
  <property fmtid="{D5CDD505-2E9C-101B-9397-08002B2CF9AE}" pid="91" name="OfficeDocumentSecurity_20112017123051">
    <vt:lpwstr>20112017123051;E105254;0</vt:lpwstr>
  </property>
  <property fmtid="{D5CDD505-2E9C-101B-9397-08002B2CF9AE}" pid="92" name="OfficeDocumentSecurity_01122017123928">
    <vt:lpwstr>01122017123928;E105254;0</vt:lpwstr>
  </property>
  <property fmtid="{D5CDD505-2E9C-101B-9397-08002B2CF9AE}" pid="93" name="OfficeDocumentSecurity_01122017123941">
    <vt:lpwstr>01122017123941;E105254;0</vt:lpwstr>
  </property>
  <property fmtid="{D5CDD505-2E9C-101B-9397-08002B2CF9AE}" pid="94" name="OfficeDocumentSecurity_11122017170445">
    <vt:lpwstr>11122017170445;E105254;0</vt:lpwstr>
  </property>
  <property fmtid="{D5CDD505-2E9C-101B-9397-08002B2CF9AE}" pid="95" name="OfficeDocumentSecurity_11122017171113">
    <vt:lpwstr>11122017171113;E105254;0</vt:lpwstr>
  </property>
  <property fmtid="{D5CDD505-2E9C-101B-9397-08002B2CF9AE}" pid="96" name="OfficeDocumentSecurity_11122017183309">
    <vt:lpwstr>11122017183309;E105254;0</vt:lpwstr>
  </property>
  <property fmtid="{D5CDD505-2E9C-101B-9397-08002B2CF9AE}" pid="97" name="OfficeDocumentSecurity_11122017184054">
    <vt:lpwstr>11122017184054;E105254;0</vt:lpwstr>
  </property>
  <property fmtid="{D5CDD505-2E9C-101B-9397-08002B2CF9AE}" pid="98" name="OfficeDocumentSecurity_12122017140838">
    <vt:lpwstr>12122017140838;E105254;0</vt:lpwstr>
  </property>
  <property fmtid="{D5CDD505-2E9C-101B-9397-08002B2CF9AE}" pid="99" name="OfficeDocumentSecurity_12122017140902">
    <vt:lpwstr>12122017140902;E105254;0</vt:lpwstr>
  </property>
  <property fmtid="{D5CDD505-2E9C-101B-9397-08002B2CF9AE}" pid="100" name="OfficeDocumentSecurity_12122017140918">
    <vt:lpwstr>12122017140918;E105254;0</vt:lpwstr>
  </property>
  <property fmtid="{D5CDD505-2E9C-101B-9397-08002B2CF9AE}" pid="101" name="OfficeDocumentSecurity_12122017144526">
    <vt:lpwstr>12122017144526;E105254;0</vt:lpwstr>
  </property>
  <property fmtid="{D5CDD505-2E9C-101B-9397-08002B2CF9AE}" pid="102" name="OfficeDocumentSecurity_19102020112947">
    <vt:lpwstr>19102020112947;e006418;0</vt:lpwstr>
  </property>
  <property fmtid="{D5CDD505-2E9C-101B-9397-08002B2CF9AE}" pid="103" name="OfficeDocumentSecurity_19102020114505">
    <vt:lpwstr>19102020114505;e006418;0</vt:lpwstr>
  </property>
  <property fmtid="{D5CDD505-2E9C-101B-9397-08002B2CF9AE}" pid="104" name="OfficeDocumentSecurity_19102020161616">
    <vt:lpwstr>19102020161616;E105671;0</vt:lpwstr>
  </property>
  <property fmtid="{D5CDD505-2E9C-101B-9397-08002B2CF9AE}" pid="105" name="OfficeDocumentSecurity_19102020162158">
    <vt:lpwstr>19102020162158;E105671;0</vt:lpwstr>
  </property>
  <property fmtid="{D5CDD505-2E9C-101B-9397-08002B2CF9AE}" pid="106" name="OfficeDocumentSecurity_19102020162813">
    <vt:lpwstr>19102020162813;E105671;0</vt:lpwstr>
  </property>
  <property fmtid="{D5CDD505-2E9C-101B-9397-08002B2CF9AE}" pid="107" name="OfficeDocumentSecurity_19102020163234">
    <vt:lpwstr>19102020163234;E105671;0</vt:lpwstr>
  </property>
  <property fmtid="{D5CDD505-2E9C-101B-9397-08002B2CF9AE}" pid="108" name="OfficeDocumentSecurity_19102020163247">
    <vt:lpwstr>19102020163247;E105671;0</vt:lpwstr>
  </property>
  <property fmtid="{D5CDD505-2E9C-101B-9397-08002B2CF9AE}" pid="109" name="OfficeDocumentSecurity_21102020162124">
    <vt:lpwstr>21102020162124;e006418;0</vt:lpwstr>
  </property>
  <property fmtid="{D5CDD505-2E9C-101B-9397-08002B2CF9AE}" pid="110" name="OfficeDocumentSecurity_21102020163125">
    <vt:lpwstr>21102020163125;e006418;0</vt:lpwstr>
  </property>
  <property fmtid="{D5CDD505-2E9C-101B-9397-08002B2CF9AE}" pid="111" name="OfficeDocumentSecurity_21102020163316">
    <vt:lpwstr>21102020163316;e006418;0</vt:lpwstr>
  </property>
  <property fmtid="{D5CDD505-2E9C-101B-9397-08002B2CF9AE}" pid="112" name="OfficeDocumentSecurity_21102020163917">
    <vt:lpwstr>21102020163917;e006418;0</vt:lpwstr>
  </property>
  <property fmtid="{D5CDD505-2E9C-101B-9397-08002B2CF9AE}" pid="113" name="_dlc_DocIdItemGuid">
    <vt:lpwstr>82d09002-71fc-4adb-b589-5bdf91dabe5f</vt:lpwstr>
  </property>
  <property fmtid="{D5CDD505-2E9C-101B-9397-08002B2CF9AE}" pid="114" name="DossierDepartment">
    <vt:lpwstr/>
  </property>
  <property fmtid="{D5CDD505-2E9C-101B-9397-08002B2CF9AE}" pid="115" name="AllianzContractingParties">
    <vt:lpwstr/>
  </property>
  <property fmtid="{D5CDD505-2E9C-101B-9397-08002B2CF9AE}" pid="116" name="MediaServiceImageTags">
    <vt:lpwstr/>
  </property>
  <property fmtid="{D5CDD505-2E9C-101B-9397-08002B2CF9AE}" pid="117" name="Contract_Type">
    <vt:lpwstr/>
  </property>
  <property fmtid="{D5CDD505-2E9C-101B-9397-08002B2CF9AE}" pid="118" name="b0fe84444e894ab98172082a3d0e58f8">
    <vt:lpwstr/>
  </property>
  <property fmtid="{D5CDD505-2E9C-101B-9397-08002B2CF9AE}" pid="119" name="Document_Class">
    <vt:lpwstr/>
  </property>
  <property fmtid="{D5CDD505-2E9C-101B-9397-08002B2CF9AE}" pid="120" name="iccd162ff52447b49ab8f5fd8f2cec1e">
    <vt:lpwstr/>
  </property>
  <property fmtid="{D5CDD505-2E9C-101B-9397-08002B2CF9AE}" pid="121" name="MSIP_Label_863bc15e-e7bf-41c1-bdb3-03882d8a2e2c_Enabled">
    <vt:lpwstr>true</vt:lpwstr>
  </property>
  <property fmtid="{D5CDD505-2E9C-101B-9397-08002B2CF9AE}" pid="122" name="MSIP_Label_863bc15e-e7bf-41c1-bdb3-03882d8a2e2c_SetDate">
    <vt:lpwstr>2023-05-18T09:07:41Z</vt:lpwstr>
  </property>
  <property fmtid="{D5CDD505-2E9C-101B-9397-08002B2CF9AE}" pid="123" name="MSIP_Label_863bc15e-e7bf-41c1-bdb3-03882d8a2e2c_Method">
    <vt:lpwstr>Privileged</vt:lpwstr>
  </property>
  <property fmtid="{D5CDD505-2E9C-101B-9397-08002B2CF9AE}" pid="124" name="MSIP_Label_863bc15e-e7bf-41c1-bdb3-03882d8a2e2c_Name">
    <vt:lpwstr>863bc15e-e7bf-41c1-bdb3-03882d8a2e2c</vt:lpwstr>
  </property>
  <property fmtid="{D5CDD505-2E9C-101B-9397-08002B2CF9AE}" pid="125" name="MSIP_Label_863bc15e-e7bf-41c1-bdb3-03882d8a2e2c_SiteId">
    <vt:lpwstr>6e06e42d-6925-47c6-b9e7-9581c7ca302a</vt:lpwstr>
  </property>
  <property fmtid="{D5CDD505-2E9C-101B-9397-08002B2CF9AE}" pid="126" name="MSIP_Label_863bc15e-e7bf-41c1-bdb3-03882d8a2e2c_ActionId">
    <vt:lpwstr>1d0d2172-4575-49d6-979c-f1868d01b3f9</vt:lpwstr>
  </property>
  <property fmtid="{D5CDD505-2E9C-101B-9397-08002B2CF9AE}" pid="127" name="MSIP_Label_863bc15e-e7bf-41c1-bdb3-03882d8a2e2c_ContentBits">
    <vt:lpwstr>1</vt:lpwstr>
  </property>
  <property fmtid="{D5CDD505-2E9C-101B-9397-08002B2CF9AE}" pid="128" name="GrammarlyDocumentId">
    <vt:lpwstr>9de82fe326db4346a03b18dd006954061f16192104d6f60f0e25a2b88219ebcd</vt:lpwstr>
  </property>
  <property fmtid="{D5CDD505-2E9C-101B-9397-08002B2CF9AE}" pid="129" name="ContentTypeId">
    <vt:lpwstr>0x010100D45E6E72D8714CC7944D4D047D7ED38D00F4A4AB4938F61541A37297F5A676FA57</vt:lpwstr>
  </property>
  <property fmtid="{D5CDD505-2E9C-101B-9397-08002B2CF9AE}" pid="130" name="nd762d5e82fb490792aa88eaddbb89ea">
    <vt:lpwstr/>
  </property>
</Properties>
</file>