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9040D" w14:textId="3004527B" w:rsidR="00375852" w:rsidRDefault="006C62E1" w:rsidP="00E43187">
      <w:pPr>
        <w:spacing w:line="360" w:lineRule="auto"/>
        <w:ind w:left="720" w:right="571"/>
        <w:jc w:val="center"/>
        <w:rPr>
          <w:rFonts w:ascii="Arial" w:hAnsi="Arial" w:cs="Arial"/>
          <w:b/>
          <w:bCs/>
          <w:sz w:val="32"/>
          <w:szCs w:val="32"/>
          <w:lang w:val="es-ES"/>
        </w:rPr>
      </w:pPr>
      <w:r w:rsidRPr="006C62E1">
        <w:rPr>
          <w:rFonts w:ascii="Arial" w:hAnsi="Arial" w:cs="Arial"/>
          <w:b/>
          <w:bCs/>
          <w:sz w:val="32"/>
          <w:szCs w:val="32"/>
          <w:lang w:val="es-ES"/>
        </w:rPr>
        <w:t>BBVA Allianz eleva un 9,6% su volumen de primas en el primer semestre de 2026 y alcanza los 338,5 millones de euros</w:t>
      </w:r>
    </w:p>
    <w:p w14:paraId="2925927F" w14:textId="77777777" w:rsidR="006C62E1" w:rsidRDefault="006C62E1" w:rsidP="001B23A8">
      <w:pPr>
        <w:ind w:left="720" w:right="571"/>
        <w:jc w:val="both"/>
        <w:rPr>
          <w:rFonts w:ascii="Arial" w:hAnsi="Arial" w:cs="Arial"/>
          <w:b/>
          <w:bCs/>
          <w:sz w:val="32"/>
          <w:szCs w:val="32"/>
          <w:lang w:val="es-ES"/>
        </w:rPr>
      </w:pPr>
    </w:p>
    <w:p w14:paraId="196A57A8" w14:textId="77777777" w:rsidR="004D4328" w:rsidRPr="003152C9" w:rsidRDefault="004D4328" w:rsidP="003152C9">
      <w:pPr>
        <w:pStyle w:val="Prrafodelista"/>
        <w:numPr>
          <w:ilvl w:val="0"/>
          <w:numId w:val="9"/>
        </w:numPr>
        <w:ind w:left="709" w:hanging="731"/>
        <w:rPr>
          <w:b/>
          <w:bCs/>
          <w:sz w:val="26"/>
          <w:szCs w:val="26"/>
          <w:lang w:val="es-ES"/>
        </w:rPr>
      </w:pPr>
      <w:r w:rsidRPr="003152C9">
        <w:rPr>
          <w:b/>
          <w:bCs/>
          <w:sz w:val="26"/>
          <w:szCs w:val="26"/>
          <w:lang w:val="es-ES"/>
        </w:rPr>
        <w:t>El beneficio antes de impuestos asciende a 51,2 millones de euros, un 8,7% superior al registrado en el primer semestre de 2025</w:t>
      </w:r>
    </w:p>
    <w:p w14:paraId="1FB195CF" w14:textId="77777777" w:rsidR="004D4328" w:rsidRPr="003152C9" w:rsidRDefault="004D4328" w:rsidP="003152C9">
      <w:pPr>
        <w:pStyle w:val="Prrafodelista"/>
        <w:numPr>
          <w:ilvl w:val="0"/>
          <w:numId w:val="9"/>
        </w:numPr>
        <w:ind w:left="709" w:hanging="731"/>
        <w:rPr>
          <w:b/>
          <w:bCs/>
          <w:sz w:val="26"/>
          <w:szCs w:val="26"/>
          <w:lang w:val="es-ES"/>
        </w:rPr>
      </w:pPr>
      <w:r w:rsidRPr="003152C9">
        <w:rPr>
          <w:b/>
          <w:bCs/>
          <w:sz w:val="26"/>
          <w:szCs w:val="26"/>
          <w:lang w:val="es-ES"/>
        </w:rPr>
        <w:t>El ratio combinado mejora hasta el 84,0% y el ratio de siniestralidad en Automóviles desciende 13,6 puntos porcentuales</w:t>
      </w:r>
    </w:p>
    <w:p w14:paraId="06A63275" w14:textId="77777777" w:rsidR="00F464D8" w:rsidRPr="00F464D8" w:rsidRDefault="00F464D8" w:rsidP="00F464D8">
      <w:pPr>
        <w:ind w:left="720"/>
        <w:rPr>
          <w:b/>
          <w:bCs/>
          <w:lang w:val="es-ES"/>
        </w:rPr>
      </w:pPr>
    </w:p>
    <w:p w14:paraId="615E9511" w14:textId="758C242E" w:rsidR="00122A7D" w:rsidRPr="00122A7D" w:rsidRDefault="00F464D8" w:rsidP="00122A7D">
      <w:pPr>
        <w:rPr>
          <w:lang w:val="es-ES"/>
        </w:rPr>
      </w:pPr>
      <w:r w:rsidRPr="00F464D8">
        <w:rPr>
          <w:b/>
          <w:bCs/>
          <w:lang w:val="es-ES"/>
        </w:rPr>
        <w:t xml:space="preserve">Madrid, </w:t>
      </w:r>
      <w:r w:rsidR="002A7C3D">
        <w:rPr>
          <w:b/>
          <w:bCs/>
          <w:lang w:val="es-ES"/>
        </w:rPr>
        <w:t>31</w:t>
      </w:r>
      <w:r w:rsidRPr="00F464D8">
        <w:rPr>
          <w:b/>
          <w:bCs/>
          <w:lang w:val="es-ES"/>
        </w:rPr>
        <w:t xml:space="preserve"> de </w:t>
      </w:r>
      <w:r w:rsidR="002A7C3D">
        <w:rPr>
          <w:b/>
          <w:bCs/>
          <w:lang w:val="es-ES"/>
        </w:rPr>
        <w:t>agosto</w:t>
      </w:r>
      <w:r w:rsidRPr="00F464D8">
        <w:rPr>
          <w:b/>
          <w:bCs/>
          <w:lang w:val="es-ES"/>
        </w:rPr>
        <w:t xml:space="preserve"> de 2026.– </w:t>
      </w:r>
      <w:r w:rsidR="00122A7D" w:rsidRPr="00122A7D">
        <w:rPr>
          <w:lang w:val="es-ES"/>
        </w:rPr>
        <w:t>BBVA Allianz Seguros, la '</w:t>
      </w:r>
      <w:proofErr w:type="spellStart"/>
      <w:r w:rsidR="00122A7D" w:rsidRPr="00122A7D">
        <w:rPr>
          <w:lang w:val="es-ES"/>
        </w:rPr>
        <w:t>joint</w:t>
      </w:r>
      <w:proofErr w:type="spellEnd"/>
      <w:r w:rsidR="00122A7D" w:rsidRPr="00122A7D">
        <w:rPr>
          <w:lang w:val="es-ES"/>
        </w:rPr>
        <w:t xml:space="preserve"> venture' entre BBVA y Allianz en España, cerró el primer semestre de 2026 con un volumen de 338,5 millones de euros en primas (+9,6%) y un beneficio antes de impuestos de 51,2 millones de euros (+8,7%).</w:t>
      </w:r>
    </w:p>
    <w:p w14:paraId="0489A2AB" w14:textId="4AA9749D" w:rsidR="00122A7D" w:rsidRPr="00122A7D" w:rsidRDefault="00122A7D" w:rsidP="00122A7D">
      <w:pPr>
        <w:rPr>
          <w:lang w:val="es-ES"/>
        </w:rPr>
      </w:pPr>
      <w:r w:rsidRPr="00122A7D">
        <w:rPr>
          <w:lang w:val="es-ES"/>
        </w:rPr>
        <w:t>El ratio combinado descendió hasta el 84,0%</w:t>
      </w:r>
      <w:r w:rsidR="00484FB9">
        <w:rPr>
          <w:lang w:val="es-ES"/>
        </w:rPr>
        <w:t>*</w:t>
      </w:r>
      <w:r w:rsidRPr="00122A7D">
        <w:rPr>
          <w:lang w:val="es-ES"/>
        </w:rPr>
        <w:t xml:space="preserve"> (frente al 84,6% de un año antes), mientras que el ratio de siniestralidad en Automóviles mejoró desde el 85,7% hasta el 72,1%, una reducción de 13,6 puntos porcentuales.</w:t>
      </w:r>
    </w:p>
    <w:p w14:paraId="7162F2FC" w14:textId="43D54E72" w:rsidR="003152C9" w:rsidRDefault="00B612AD" w:rsidP="00122A7D">
      <w:pPr>
        <w:rPr>
          <w:lang w:val="es-ES"/>
        </w:rPr>
      </w:pPr>
      <w:r w:rsidRPr="00B612AD">
        <w:rPr>
          <w:noProof/>
          <w:lang w:val="es-ES"/>
        </w:rPr>
        <w:drawing>
          <wp:inline distT="0" distB="0" distL="0" distR="0" wp14:anchorId="692F3478" wp14:editId="2EAE4324">
            <wp:extent cx="5943600" cy="1463040"/>
            <wp:effectExtent l="0" t="0" r="0" b="3810"/>
            <wp:docPr id="75543718" name="Imagen 1">
              <a:extLst xmlns:a="http://schemas.openxmlformats.org/drawingml/2006/main">
                <a:ext uri="{FF2B5EF4-FFF2-40B4-BE49-F238E27FC236}">
                  <a16:creationId xmlns:a16="http://schemas.microsoft.com/office/drawing/2014/main" id="{924AD0CF-10B8-4027-9173-E5EAC519C1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43718" name=""/>
                    <pic:cNvPicPr/>
                  </pic:nvPicPr>
                  <pic:blipFill>
                    <a:blip r:embed="rId11"/>
                    <a:stretch>
                      <a:fillRect/>
                    </a:stretch>
                  </pic:blipFill>
                  <pic:spPr>
                    <a:xfrm>
                      <a:off x="0" y="0"/>
                      <a:ext cx="5943600" cy="1463040"/>
                    </a:xfrm>
                    <a:prstGeom prst="rect">
                      <a:avLst/>
                    </a:prstGeom>
                  </pic:spPr>
                </pic:pic>
              </a:graphicData>
            </a:graphic>
          </wp:inline>
        </w:drawing>
      </w:r>
    </w:p>
    <w:p w14:paraId="4B05B33B" w14:textId="337D84F8" w:rsidR="00122A7D" w:rsidRPr="00676C57" w:rsidRDefault="00122A7D" w:rsidP="00122A7D">
      <w:pPr>
        <w:rPr>
          <w:b/>
          <w:bCs/>
          <w:lang w:val="es-ES"/>
        </w:rPr>
      </w:pPr>
      <w:r w:rsidRPr="00676C57">
        <w:rPr>
          <w:b/>
          <w:bCs/>
          <w:lang w:val="es-ES"/>
        </w:rPr>
        <w:t>Crecimiento rentable apoyado en la evolución del negocio</w:t>
      </w:r>
    </w:p>
    <w:p w14:paraId="34B9AD43" w14:textId="77777777" w:rsidR="00122A7D" w:rsidRPr="00122A7D" w:rsidRDefault="00122A7D" w:rsidP="00122A7D">
      <w:pPr>
        <w:rPr>
          <w:lang w:val="es-ES"/>
        </w:rPr>
      </w:pPr>
      <w:r w:rsidRPr="00122A7D">
        <w:rPr>
          <w:lang w:val="es-ES"/>
        </w:rPr>
        <w:lastRenderedPageBreak/>
        <w:t>La evolución del semestre se sustentó en el crecimiento del negocio y en la mejora de los principales indicadores técnicos, manteniendo una evolución equilibrada entre actividad, rentabilidad y eficiencia.</w:t>
      </w:r>
    </w:p>
    <w:p w14:paraId="5238A593" w14:textId="111E2A08" w:rsidR="00122A7D" w:rsidRPr="00122A7D" w:rsidRDefault="00122A7D" w:rsidP="00B04B9A">
      <w:pPr>
        <w:spacing w:before="100" w:beforeAutospacing="1" w:after="100" w:afterAutospacing="1"/>
        <w:rPr>
          <w:lang w:val="es-ES"/>
        </w:rPr>
      </w:pPr>
      <w:r w:rsidRPr="00122A7D">
        <w:rPr>
          <w:lang w:val="es-ES"/>
        </w:rPr>
        <w:t xml:space="preserve">Eugenio Yurrita, CEO de BBVA Seguros y presidente de BBVA Allianz, afirma: </w:t>
      </w:r>
      <w:r w:rsidR="00B04B9A" w:rsidRPr="00B04B9A">
        <w:rPr>
          <w:rFonts w:ascii="Arial" w:hAnsi="Arial" w:cs="Arial"/>
          <w:i/>
          <w:iCs/>
          <w:lang w:val="es-ES"/>
        </w:rPr>
        <w:t>"Los resultados del primer semestre confirman la fortaleza y sostenibilidad de nuestro modelo de negocio y de la alianza. La unión de nuestras capacidades nos permite ofrecer una propuesta de valor diferencial y continuamente adaptada a las necesidades de protección de los clientes de BBVA"</w:t>
      </w:r>
      <w:r w:rsidRPr="00676C57">
        <w:rPr>
          <w:i/>
          <w:iCs/>
          <w:lang w:val="es-ES"/>
        </w:rPr>
        <w:t>.</w:t>
      </w:r>
    </w:p>
    <w:p w14:paraId="6234E81E" w14:textId="69F70A60" w:rsidR="00122A7D" w:rsidRPr="00122A7D" w:rsidRDefault="00122A7D" w:rsidP="00122A7D">
      <w:pPr>
        <w:rPr>
          <w:lang w:val="es-ES"/>
        </w:rPr>
      </w:pPr>
      <w:r w:rsidRPr="00122A7D">
        <w:rPr>
          <w:lang w:val="es-ES"/>
        </w:rPr>
        <w:t xml:space="preserve">Veit Stutz, consejero delegado de Allianz Seguros y vicepresidente de BBVA Allianz, señala: </w:t>
      </w:r>
      <w:r w:rsidRPr="00676C57">
        <w:rPr>
          <w:i/>
          <w:iCs/>
          <w:lang w:val="es-ES"/>
        </w:rPr>
        <w:t>"</w:t>
      </w:r>
      <w:r w:rsidR="00895276" w:rsidRPr="00895276">
        <w:rPr>
          <w:i/>
          <w:iCs/>
          <w:lang w:val="es-ES"/>
        </w:rPr>
        <w:t>La evolución del semestre demuestra que estamos creciendo sobre bases sólidas, combinando un fuerte dinamismo comercial con una excelente rentabilidad técnica. La mejora de nuestros indicadores refleja la calidad de la suscripción y la gestión del riesgo, dos capacidades esenciales para construir un negocio asegurador rentable y sostenible a largo plazo y seguir ofreciendo cada vez más valor a los clientes</w:t>
      </w:r>
      <w:r w:rsidR="00B71EA2">
        <w:rPr>
          <w:i/>
          <w:iCs/>
          <w:lang w:val="es-ES"/>
        </w:rPr>
        <w:t>”.</w:t>
      </w:r>
    </w:p>
    <w:p w14:paraId="0D7E59EC" w14:textId="77777777" w:rsidR="00676C57" w:rsidRDefault="00676C57" w:rsidP="00122A7D">
      <w:pPr>
        <w:rPr>
          <w:lang w:val="es-ES"/>
        </w:rPr>
      </w:pPr>
    </w:p>
    <w:p w14:paraId="22B9C06F" w14:textId="02EE5D4F" w:rsidR="00122A7D" w:rsidRPr="00676C57" w:rsidRDefault="00122A7D" w:rsidP="00122A7D">
      <w:pPr>
        <w:rPr>
          <w:b/>
          <w:bCs/>
          <w:lang w:val="es-ES"/>
        </w:rPr>
      </w:pPr>
      <w:r w:rsidRPr="00676C57">
        <w:rPr>
          <w:b/>
          <w:bCs/>
          <w:lang w:val="es-ES"/>
        </w:rPr>
        <w:t>Inteligencia artificial y banca-seguros para impulsar el crecimiento</w:t>
      </w:r>
    </w:p>
    <w:p w14:paraId="4B182DA0" w14:textId="77777777" w:rsidR="00122A7D" w:rsidRPr="00122A7D" w:rsidRDefault="00122A7D" w:rsidP="00122A7D">
      <w:pPr>
        <w:rPr>
          <w:lang w:val="es-ES"/>
        </w:rPr>
      </w:pPr>
      <w:r w:rsidRPr="00122A7D">
        <w:rPr>
          <w:lang w:val="es-ES"/>
        </w:rPr>
        <w:t>Durante el primer semestre de 2026, BBVA Allianz continuó desarrollando nuevas capacidades digitales para mejorar la experiencia de cliente y aumentar la eficiencia operativa. La compañía avanza en la incorporación de soluciones de inteligencia artificial aplicadas a la personalización de la oferta, el apoyo a la red comercial y la simplificación de procesos.</w:t>
      </w:r>
    </w:p>
    <w:p w14:paraId="799B4204" w14:textId="2FCBA748" w:rsidR="00122A7D" w:rsidRPr="00122A7D" w:rsidRDefault="00122A7D" w:rsidP="00122A7D">
      <w:pPr>
        <w:rPr>
          <w:lang w:val="es-ES"/>
        </w:rPr>
      </w:pPr>
      <w:r w:rsidRPr="00122A7D">
        <w:rPr>
          <w:lang w:val="es-ES"/>
        </w:rPr>
        <w:t xml:space="preserve">Maite Archaga, directora general de BBVA Allianz, explica: </w:t>
      </w:r>
      <w:r w:rsidR="00131821">
        <w:rPr>
          <w:i/>
          <w:iCs/>
          <w:lang w:val="es-ES"/>
        </w:rPr>
        <w:t>"Seguimos creciendo con foco en nuestras prioridades estratégicas: ampliar la base de clientes y ofrecer una experiencia aseguradora cada vez más sencilla, personalizada y diferencial. La incorporación progresiva de capacidades de inteligencia artificial contribuirá a reforzar el asesoramiento y simplificar procesos</w:t>
      </w:r>
      <w:r w:rsidRPr="00676C57">
        <w:rPr>
          <w:i/>
          <w:iCs/>
          <w:lang w:val="es-ES"/>
        </w:rPr>
        <w:t>"</w:t>
      </w:r>
      <w:r w:rsidRPr="00122A7D">
        <w:rPr>
          <w:lang w:val="es-ES"/>
        </w:rPr>
        <w:t xml:space="preserve"> </w:t>
      </w:r>
      <w:r w:rsidR="00684F37">
        <w:rPr>
          <w:lang w:val="es-ES"/>
        </w:rPr>
        <w:t>.</w:t>
      </w:r>
    </w:p>
    <w:p w14:paraId="4613994A" w14:textId="77777777" w:rsidR="00E43187" w:rsidRDefault="00E43187" w:rsidP="00295862">
      <w:pPr>
        <w:spacing w:after="0" w:line="300" w:lineRule="auto"/>
        <w:jc w:val="both"/>
        <w:rPr>
          <w:rFonts w:ascii="Segoe UI" w:eastAsia="Segoe UI" w:hAnsi="Segoe UI" w:cs="Segoe UI"/>
          <w:sz w:val="21"/>
          <w:szCs w:val="21"/>
          <w:lang w:val="es-ES"/>
        </w:rPr>
      </w:pPr>
    </w:p>
    <w:p w14:paraId="0CEF26D1" w14:textId="0692BAC4" w:rsidR="6FAC792D" w:rsidRDefault="6FAC792D" w:rsidP="00295862">
      <w:pPr>
        <w:spacing w:after="0" w:line="300" w:lineRule="auto"/>
        <w:jc w:val="both"/>
        <w:rPr>
          <w:rFonts w:ascii="Segoe UI" w:eastAsia="Segoe UI" w:hAnsi="Segoe UI" w:cs="Segoe UI"/>
          <w:sz w:val="21"/>
          <w:szCs w:val="21"/>
          <w:lang w:val="es-ES"/>
        </w:rPr>
      </w:pPr>
      <w:r w:rsidRPr="334D59C3">
        <w:rPr>
          <w:rFonts w:ascii="Segoe UI" w:eastAsia="Segoe UI" w:hAnsi="Segoe UI" w:cs="Segoe UI"/>
          <w:sz w:val="21"/>
          <w:szCs w:val="21"/>
          <w:lang w:val="es-ES"/>
        </w:rPr>
        <w:t>Nota: Resultados elaborados conforme a la normativa contable local española.</w:t>
      </w:r>
    </w:p>
    <w:p w14:paraId="473135C0" w14:textId="208CE513" w:rsidR="007C1648" w:rsidRPr="007C1648" w:rsidRDefault="007C1648" w:rsidP="00295862">
      <w:pPr>
        <w:spacing w:after="0" w:line="300" w:lineRule="auto"/>
        <w:jc w:val="both"/>
        <w:rPr>
          <w:rFonts w:ascii="Segoe UI" w:eastAsia="Segoe UI" w:hAnsi="Segoe UI" w:cs="Segoe UI"/>
          <w:sz w:val="21"/>
          <w:szCs w:val="21"/>
          <w:lang w:val="es-ES"/>
        </w:rPr>
      </w:pPr>
      <w:r>
        <w:rPr>
          <w:rFonts w:ascii="Segoe UI" w:eastAsia="Segoe UI" w:hAnsi="Segoe UI" w:cs="Segoe UI"/>
          <w:sz w:val="21"/>
          <w:szCs w:val="21"/>
          <w:lang w:val="es-ES"/>
        </w:rPr>
        <w:t>(*)</w:t>
      </w:r>
      <w:r w:rsidR="00491FB5">
        <w:rPr>
          <w:rFonts w:ascii="Segoe UI" w:eastAsia="Segoe UI" w:hAnsi="Segoe UI" w:cs="Segoe UI"/>
          <w:sz w:val="21"/>
          <w:szCs w:val="21"/>
          <w:lang w:val="es-ES"/>
        </w:rPr>
        <w:t xml:space="preserve"> </w:t>
      </w:r>
      <w:r w:rsidRPr="007C1648">
        <w:rPr>
          <w:rFonts w:ascii="Segoe UI" w:eastAsia="Segoe UI" w:hAnsi="Segoe UI" w:cs="Segoe UI"/>
          <w:sz w:val="21"/>
          <w:szCs w:val="21"/>
          <w:lang w:val="es-ES"/>
        </w:rPr>
        <w:t>Datos sin amortización del intangible</w:t>
      </w:r>
    </w:p>
    <w:p w14:paraId="5E68E916" w14:textId="7207C884" w:rsidR="334D59C3" w:rsidRDefault="334D59C3" w:rsidP="334D59C3">
      <w:pPr>
        <w:jc w:val="both"/>
        <w:rPr>
          <w:rFonts w:ascii="Arial" w:hAnsi="Arial" w:cs="Arial"/>
          <w:b/>
          <w:bCs/>
          <w:sz w:val="22"/>
          <w:szCs w:val="22"/>
          <w:lang w:val="es-ES"/>
        </w:rPr>
      </w:pPr>
    </w:p>
    <w:p w14:paraId="7EA31923" w14:textId="1E568B0F" w:rsidR="0049298E" w:rsidRPr="0049298E" w:rsidRDefault="0049298E" w:rsidP="0049298E">
      <w:pPr>
        <w:jc w:val="both"/>
        <w:rPr>
          <w:rFonts w:ascii="Arial" w:hAnsi="Arial" w:cs="Arial"/>
          <w:b/>
          <w:bCs/>
          <w:sz w:val="22"/>
          <w:szCs w:val="22"/>
          <w:lang w:val="es-ES"/>
        </w:rPr>
      </w:pPr>
      <w:r w:rsidRPr="0049298E">
        <w:rPr>
          <w:rFonts w:ascii="Arial" w:hAnsi="Arial" w:cs="Arial"/>
          <w:b/>
          <w:bCs/>
          <w:sz w:val="22"/>
          <w:szCs w:val="22"/>
          <w:lang w:val="es-ES"/>
        </w:rPr>
        <w:t>Sobre BBVA Allianz</w:t>
      </w:r>
      <w:r w:rsidR="00375852">
        <w:rPr>
          <w:rFonts w:ascii="Arial" w:hAnsi="Arial" w:cs="Arial"/>
          <w:b/>
          <w:bCs/>
          <w:sz w:val="22"/>
          <w:szCs w:val="22"/>
          <w:lang w:val="es-ES"/>
        </w:rPr>
        <w:t xml:space="preserve"> Seguros</w:t>
      </w:r>
    </w:p>
    <w:p w14:paraId="29685BC4" w14:textId="77777777" w:rsidR="001517E5" w:rsidRPr="001517E5" w:rsidRDefault="001517E5" w:rsidP="001517E5">
      <w:pPr>
        <w:jc w:val="both"/>
        <w:rPr>
          <w:rFonts w:ascii="Arial" w:hAnsi="Arial" w:cs="Arial"/>
          <w:sz w:val="22"/>
          <w:szCs w:val="22"/>
          <w:lang w:val="es-ES"/>
        </w:rPr>
      </w:pPr>
      <w:r w:rsidRPr="001517E5">
        <w:rPr>
          <w:rFonts w:ascii="Arial" w:hAnsi="Arial" w:cs="Arial"/>
          <w:sz w:val="22"/>
          <w:szCs w:val="22"/>
          <w:lang w:val="es-ES"/>
        </w:rPr>
        <w:t xml:space="preserve">BBVA Allianz Seguros es la </w:t>
      </w:r>
      <w:proofErr w:type="spellStart"/>
      <w:r w:rsidRPr="001517E5">
        <w:rPr>
          <w:rFonts w:ascii="Arial" w:hAnsi="Arial" w:cs="Arial"/>
          <w:sz w:val="22"/>
          <w:szCs w:val="22"/>
          <w:lang w:val="es-ES"/>
        </w:rPr>
        <w:t>joint</w:t>
      </w:r>
      <w:proofErr w:type="spellEnd"/>
      <w:r w:rsidRPr="001517E5">
        <w:rPr>
          <w:rFonts w:ascii="Arial" w:hAnsi="Arial" w:cs="Arial"/>
          <w:sz w:val="22"/>
          <w:szCs w:val="22"/>
          <w:lang w:val="es-ES"/>
        </w:rPr>
        <w:t xml:space="preserve"> venture de </w:t>
      </w:r>
      <w:proofErr w:type="spellStart"/>
      <w:r w:rsidRPr="001517E5">
        <w:rPr>
          <w:rFonts w:ascii="Arial" w:hAnsi="Arial" w:cs="Arial"/>
          <w:sz w:val="22"/>
          <w:szCs w:val="22"/>
          <w:lang w:val="es-ES"/>
        </w:rPr>
        <w:t>bancaseguros</w:t>
      </w:r>
      <w:proofErr w:type="spellEnd"/>
      <w:r w:rsidRPr="001517E5">
        <w:rPr>
          <w:rFonts w:ascii="Arial" w:hAnsi="Arial" w:cs="Arial"/>
          <w:sz w:val="22"/>
          <w:szCs w:val="22"/>
          <w:lang w:val="es-ES"/>
        </w:rPr>
        <w:t xml:space="preserve"> entre BBVA y Allianz en España, especializada en seguros de No Vida. La compañía comenzó a operar en diciembre de 2020 y gestiona actualmente una cartera de 1,27 millones de clientes y más de 1,66 millones de pólizas.</w:t>
      </w:r>
    </w:p>
    <w:p w14:paraId="239534DD" w14:textId="77777777" w:rsidR="001517E5" w:rsidRPr="001517E5" w:rsidRDefault="001517E5" w:rsidP="001517E5">
      <w:pPr>
        <w:jc w:val="both"/>
        <w:rPr>
          <w:rFonts w:ascii="Arial" w:hAnsi="Arial" w:cs="Arial"/>
          <w:sz w:val="22"/>
          <w:szCs w:val="22"/>
          <w:lang w:val="es-ES"/>
        </w:rPr>
      </w:pPr>
      <w:r w:rsidRPr="001517E5">
        <w:rPr>
          <w:rFonts w:ascii="Arial" w:hAnsi="Arial" w:cs="Arial"/>
          <w:sz w:val="22"/>
          <w:szCs w:val="22"/>
          <w:lang w:val="es-ES"/>
        </w:rPr>
        <w:lastRenderedPageBreak/>
        <w:t>BBVA Allianz ofrece seguros de Hogar, Automóviles, Accidentes, Pymes y Decesos a los clientes de BBVA en España, combinando la capacidad de distribución en canales físicos y digitales de BBVA con la experiencia técnica y la gestión del riesgo de Allianz.</w:t>
      </w:r>
    </w:p>
    <w:p w14:paraId="2E19C0C7" w14:textId="77777777" w:rsidR="001517E5" w:rsidRPr="001517E5" w:rsidRDefault="001517E5" w:rsidP="001517E5">
      <w:pPr>
        <w:jc w:val="both"/>
        <w:rPr>
          <w:rFonts w:ascii="Arial" w:hAnsi="Arial" w:cs="Arial"/>
          <w:sz w:val="22"/>
          <w:szCs w:val="22"/>
          <w:lang w:val="es-ES"/>
        </w:rPr>
      </w:pPr>
      <w:r w:rsidRPr="001517E5">
        <w:rPr>
          <w:rFonts w:ascii="Arial" w:hAnsi="Arial" w:cs="Arial"/>
          <w:sz w:val="22"/>
          <w:szCs w:val="22"/>
          <w:lang w:val="es-ES"/>
        </w:rPr>
        <w:t xml:space="preserve">La alianza entre BBVA, uno de los principales grupos financieros en España, y Allianz, uno de los mayores grupos aseguradores del mundo con presencia en más de 70 países, constituye una de las mayores </w:t>
      </w:r>
      <w:proofErr w:type="spellStart"/>
      <w:r w:rsidRPr="001517E5">
        <w:rPr>
          <w:rFonts w:ascii="Arial" w:hAnsi="Arial" w:cs="Arial"/>
          <w:sz w:val="22"/>
          <w:szCs w:val="22"/>
          <w:lang w:val="es-ES"/>
        </w:rPr>
        <w:t>joint</w:t>
      </w:r>
      <w:proofErr w:type="spellEnd"/>
      <w:r w:rsidRPr="001517E5">
        <w:rPr>
          <w:rFonts w:ascii="Arial" w:hAnsi="Arial" w:cs="Arial"/>
          <w:sz w:val="22"/>
          <w:szCs w:val="22"/>
          <w:lang w:val="es-ES"/>
        </w:rPr>
        <w:t xml:space="preserve"> ventures de </w:t>
      </w:r>
      <w:proofErr w:type="spellStart"/>
      <w:r w:rsidRPr="001517E5">
        <w:rPr>
          <w:rFonts w:ascii="Arial" w:hAnsi="Arial" w:cs="Arial"/>
          <w:sz w:val="22"/>
          <w:szCs w:val="22"/>
          <w:lang w:val="es-ES"/>
        </w:rPr>
        <w:t>bancaseguros</w:t>
      </w:r>
      <w:proofErr w:type="spellEnd"/>
      <w:r w:rsidRPr="001517E5">
        <w:rPr>
          <w:rFonts w:ascii="Arial" w:hAnsi="Arial" w:cs="Arial"/>
          <w:sz w:val="22"/>
          <w:szCs w:val="22"/>
          <w:lang w:val="es-ES"/>
        </w:rPr>
        <w:t xml:space="preserve"> en el ramo de No Vida en Europa.</w:t>
      </w:r>
    </w:p>
    <w:p w14:paraId="2D055881" w14:textId="63DF9081" w:rsidR="001517E5" w:rsidRPr="00F464D8" w:rsidRDefault="001517E5" w:rsidP="001517E5">
      <w:pPr>
        <w:jc w:val="both"/>
        <w:rPr>
          <w:rFonts w:ascii="Arial" w:hAnsi="Arial" w:cs="Arial"/>
          <w:b/>
          <w:bCs/>
          <w:sz w:val="22"/>
          <w:szCs w:val="22"/>
          <w:lang w:val="es-ES"/>
        </w:rPr>
      </w:pPr>
      <w:r w:rsidRPr="00F464D8">
        <w:rPr>
          <w:rFonts w:ascii="Arial" w:hAnsi="Arial" w:cs="Arial"/>
          <w:sz w:val="22"/>
          <w:szCs w:val="22"/>
          <w:lang w:val="es-ES"/>
        </w:rPr>
        <w:t>Más información: </w:t>
      </w:r>
      <w:hyperlink r:id="rId12" w:history="1">
        <w:r w:rsidRPr="00F464D8">
          <w:rPr>
            <w:rStyle w:val="Hipervnculo"/>
            <w:rFonts w:ascii="Arial" w:hAnsi="Arial" w:cs="Arial"/>
            <w:b/>
            <w:bCs/>
            <w:sz w:val="22"/>
            <w:szCs w:val="22"/>
            <w:lang w:val="es-ES"/>
          </w:rPr>
          <w:t>www.bbvaallianz.es</w:t>
        </w:r>
      </w:hyperlink>
    </w:p>
    <w:p w14:paraId="5430C300" w14:textId="77777777" w:rsidR="001517E5" w:rsidRPr="00F464D8" w:rsidRDefault="001517E5" w:rsidP="001517E5">
      <w:pPr>
        <w:jc w:val="both"/>
        <w:rPr>
          <w:rFonts w:ascii="Arial" w:hAnsi="Arial" w:cs="Arial"/>
          <w:sz w:val="22"/>
          <w:szCs w:val="22"/>
          <w:lang w:val="es-ES"/>
        </w:rPr>
      </w:pPr>
    </w:p>
    <w:p w14:paraId="5AC35F91" w14:textId="7C89A610" w:rsidR="0049298E" w:rsidRPr="0049298E" w:rsidRDefault="00A31BA1" w:rsidP="0049298E">
      <w:pPr>
        <w:jc w:val="both"/>
        <w:rPr>
          <w:rFonts w:ascii="Arial" w:hAnsi="Arial" w:cs="Arial"/>
          <w:sz w:val="22"/>
          <w:szCs w:val="22"/>
          <w:lang w:val="es-ES"/>
        </w:rPr>
      </w:pPr>
      <w:r>
        <w:rPr>
          <w:rFonts w:ascii="Arial" w:hAnsi="Arial" w:cs="Arial"/>
          <w:noProof/>
          <w:sz w:val="22"/>
          <w:szCs w:val="22"/>
          <w:lang w:val="es-ES"/>
        </w:rPr>
        <mc:AlternateContent>
          <mc:Choice Requires="wps">
            <w:drawing>
              <wp:anchor distT="0" distB="0" distL="114300" distR="114300" simplePos="0" relativeHeight="251658240" behindDoc="0" locked="0" layoutInCell="1" allowOverlap="1" wp14:anchorId="47B4A82D" wp14:editId="5DD0C988">
                <wp:simplePos x="0" y="0"/>
                <wp:positionH relativeFrom="column">
                  <wp:posOffset>11575</wp:posOffset>
                </wp:positionH>
                <wp:positionV relativeFrom="paragraph">
                  <wp:posOffset>106029</wp:posOffset>
                </wp:positionV>
                <wp:extent cx="5903088" cy="0"/>
                <wp:effectExtent l="0" t="0" r="0" b="0"/>
                <wp:wrapNone/>
                <wp:docPr id="22804522" name="Conector recto 1">
                  <a:extLst xmlns:a="http://schemas.openxmlformats.org/drawingml/2006/main">
                    <a:ext uri="{FF2B5EF4-FFF2-40B4-BE49-F238E27FC236}">
                      <a16:creationId xmlns:a16="http://schemas.microsoft.com/office/drawing/2014/main" id="{1C734E82-4CBC-4F54-92D9-6DCCF61E112F}"/>
                    </a:ext>
                  </a:extLst>
                </wp:docPr>
                <wp:cNvGraphicFramePr/>
                <a:graphic xmlns:a="http://schemas.openxmlformats.org/drawingml/2006/main">
                  <a:graphicData uri="http://schemas.microsoft.com/office/word/2010/wordprocessingShape">
                    <wps:wsp>
                      <wps:cNvCnPr/>
                      <wps:spPr>
                        <a:xfrm>
                          <a:off x="0" y="0"/>
                          <a:ext cx="590308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6C19CA" id="Conector rec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9pt,8.35pt" to="465.7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" strokecolor="#156082 [3204]" strokeweight=".5pt">
                <v:stroke joinstyle="miter"/>
              </v:line>
            </w:pict>
          </mc:Fallback>
        </mc:AlternateContent>
      </w:r>
    </w:p>
    <w:p w14:paraId="143611AC" w14:textId="3C825290" w:rsidR="0049298E" w:rsidRPr="00A31BA1" w:rsidRDefault="0049298E" w:rsidP="0049298E">
      <w:pPr>
        <w:jc w:val="both"/>
        <w:rPr>
          <w:rFonts w:ascii="Arial" w:hAnsi="Arial" w:cs="Arial"/>
          <w:b/>
          <w:bCs/>
          <w:sz w:val="22"/>
          <w:szCs w:val="22"/>
          <w:lang w:val="es-ES"/>
        </w:rPr>
      </w:pPr>
      <w:r w:rsidRPr="00A31BA1">
        <w:rPr>
          <w:rFonts w:ascii="Arial" w:hAnsi="Arial" w:cs="Arial"/>
          <w:b/>
          <w:bCs/>
          <w:sz w:val="22"/>
          <w:szCs w:val="22"/>
          <w:lang w:val="es-ES"/>
        </w:rPr>
        <w:t>Más información para prensa:</w:t>
      </w:r>
    </w:p>
    <w:p w14:paraId="7950BEB6" w14:textId="46627CAF" w:rsidR="0049298E" w:rsidRPr="0049298E" w:rsidRDefault="0049298E" w:rsidP="0049298E">
      <w:pPr>
        <w:jc w:val="both"/>
        <w:rPr>
          <w:rFonts w:ascii="Arial" w:hAnsi="Arial" w:cs="Arial"/>
          <w:sz w:val="22"/>
          <w:szCs w:val="22"/>
          <w:lang w:val="es-ES"/>
        </w:rPr>
      </w:pPr>
      <w:r w:rsidRPr="0049298E">
        <w:rPr>
          <w:rFonts w:ascii="Arial" w:hAnsi="Arial" w:cs="Arial"/>
          <w:sz w:val="22"/>
          <w:szCs w:val="22"/>
          <w:lang w:val="es-ES"/>
        </w:rPr>
        <w:t>Sonia Rodríguez</w:t>
      </w:r>
      <w:r w:rsidR="00B4673B">
        <w:rPr>
          <w:rFonts w:ascii="Arial" w:hAnsi="Arial" w:cs="Arial"/>
          <w:sz w:val="22"/>
          <w:szCs w:val="22"/>
          <w:lang w:val="es-ES"/>
        </w:rPr>
        <w:t xml:space="preserve"> (Allianz)</w:t>
      </w:r>
      <w:r w:rsidRPr="0049298E">
        <w:rPr>
          <w:rFonts w:ascii="Arial" w:hAnsi="Arial" w:cs="Arial"/>
          <w:sz w:val="22"/>
          <w:szCs w:val="22"/>
          <w:lang w:val="es-ES"/>
        </w:rPr>
        <w:tab/>
        <w:t xml:space="preserve">Tel. </w:t>
      </w:r>
      <w:r w:rsidR="003052DE">
        <w:rPr>
          <w:rFonts w:ascii="Arial" w:hAnsi="Arial" w:cs="Arial"/>
          <w:sz w:val="22"/>
          <w:szCs w:val="22"/>
          <w:lang w:val="es-ES"/>
        </w:rPr>
        <w:t>638</w:t>
      </w:r>
      <w:r w:rsidR="00416774">
        <w:rPr>
          <w:rFonts w:ascii="Arial" w:hAnsi="Arial" w:cs="Arial"/>
          <w:sz w:val="22"/>
          <w:szCs w:val="22"/>
          <w:lang w:val="es-ES"/>
        </w:rPr>
        <w:t xml:space="preserve"> </w:t>
      </w:r>
      <w:r w:rsidR="003052DE">
        <w:rPr>
          <w:rFonts w:ascii="Arial" w:hAnsi="Arial" w:cs="Arial"/>
          <w:sz w:val="22"/>
          <w:szCs w:val="22"/>
          <w:lang w:val="es-ES"/>
        </w:rPr>
        <w:t>93</w:t>
      </w:r>
      <w:r w:rsidR="00416774">
        <w:rPr>
          <w:rFonts w:ascii="Arial" w:hAnsi="Arial" w:cs="Arial"/>
          <w:sz w:val="22"/>
          <w:szCs w:val="22"/>
          <w:lang w:val="es-ES"/>
        </w:rPr>
        <w:t xml:space="preserve"> </w:t>
      </w:r>
      <w:r w:rsidR="003052DE">
        <w:rPr>
          <w:rFonts w:ascii="Arial" w:hAnsi="Arial" w:cs="Arial"/>
          <w:sz w:val="22"/>
          <w:szCs w:val="22"/>
          <w:lang w:val="es-ES"/>
        </w:rPr>
        <w:t>00</w:t>
      </w:r>
      <w:r w:rsidR="00416774">
        <w:rPr>
          <w:rFonts w:ascii="Arial" w:hAnsi="Arial" w:cs="Arial"/>
          <w:sz w:val="22"/>
          <w:szCs w:val="22"/>
          <w:lang w:val="es-ES"/>
        </w:rPr>
        <w:t xml:space="preserve"> </w:t>
      </w:r>
      <w:r w:rsidR="003052DE">
        <w:rPr>
          <w:rFonts w:ascii="Arial" w:hAnsi="Arial" w:cs="Arial"/>
          <w:sz w:val="22"/>
          <w:szCs w:val="22"/>
          <w:lang w:val="es-ES"/>
        </w:rPr>
        <w:t>08</w:t>
      </w:r>
    </w:p>
    <w:p w14:paraId="0E266171" w14:textId="77777777" w:rsidR="0049298E" w:rsidRPr="0049298E" w:rsidRDefault="0049298E" w:rsidP="0049298E">
      <w:pPr>
        <w:jc w:val="both"/>
        <w:rPr>
          <w:rFonts w:ascii="Arial" w:hAnsi="Arial" w:cs="Arial"/>
          <w:sz w:val="22"/>
          <w:szCs w:val="22"/>
          <w:lang w:val="es-ES"/>
        </w:rPr>
      </w:pPr>
    </w:p>
    <w:sectPr w:rsidR="0049298E" w:rsidRPr="0049298E" w:rsidSect="00B827E9">
      <w:headerReference w:type="default" r:id="rId13"/>
      <w:footerReference w:type="default" r:id="rId14"/>
      <w:headerReference w:type="first" r:id="rId15"/>
      <w:footerReference w:type="first" r:id="rId1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35B3C" w14:textId="77777777" w:rsidR="00C82048" w:rsidRDefault="00C82048" w:rsidP="00B827E9">
      <w:pPr>
        <w:spacing w:after="0" w:line="240" w:lineRule="auto"/>
      </w:pPr>
      <w:r>
        <w:separator/>
      </w:r>
    </w:p>
  </w:endnote>
  <w:endnote w:type="continuationSeparator" w:id="0">
    <w:p w14:paraId="6462517C" w14:textId="77777777" w:rsidR="00C82048" w:rsidRDefault="00C82048" w:rsidP="00B827E9">
      <w:pPr>
        <w:spacing w:after="0" w:line="240" w:lineRule="auto"/>
      </w:pPr>
      <w:r>
        <w:continuationSeparator/>
      </w:r>
    </w:p>
  </w:endnote>
  <w:endnote w:type="continuationNotice" w:id="1">
    <w:p w14:paraId="782B4B45" w14:textId="77777777" w:rsidR="00C82048" w:rsidRDefault="00C820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BBVABentonSansLigh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9F36D93" w14:paraId="2E9A7CEE" w14:textId="77777777" w:rsidTr="79F36D93">
      <w:trPr>
        <w:trHeight w:val="300"/>
      </w:trPr>
      <w:tc>
        <w:tcPr>
          <w:tcW w:w="3120" w:type="dxa"/>
        </w:tcPr>
        <w:p w14:paraId="197625D4" w14:textId="3FF2F7A3" w:rsidR="79F36D93" w:rsidRDefault="79F36D93" w:rsidP="79F36D93">
          <w:pPr>
            <w:pStyle w:val="Encabezado"/>
            <w:ind w:left="-115"/>
          </w:pPr>
        </w:p>
      </w:tc>
      <w:tc>
        <w:tcPr>
          <w:tcW w:w="3120" w:type="dxa"/>
        </w:tcPr>
        <w:p w14:paraId="29FFA112" w14:textId="2B6ED51F" w:rsidR="79F36D93" w:rsidRDefault="79F36D93" w:rsidP="79F36D93">
          <w:pPr>
            <w:pStyle w:val="Encabezado"/>
            <w:jc w:val="center"/>
          </w:pPr>
        </w:p>
      </w:tc>
      <w:tc>
        <w:tcPr>
          <w:tcW w:w="3120" w:type="dxa"/>
        </w:tcPr>
        <w:p w14:paraId="3C51EFCC" w14:textId="6E0EE4D4" w:rsidR="79F36D93" w:rsidRDefault="79F36D93" w:rsidP="79F36D93">
          <w:pPr>
            <w:pStyle w:val="Encabezado"/>
            <w:ind w:right="-115"/>
            <w:jc w:val="right"/>
          </w:pPr>
        </w:p>
      </w:tc>
    </w:tr>
  </w:tbl>
  <w:p w14:paraId="3F77A57B" w14:textId="793FEEC5" w:rsidR="79F36D93" w:rsidRDefault="79F36D93" w:rsidP="79F36D9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9F36D93" w14:paraId="68D7C81D" w14:textId="77777777" w:rsidTr="79F36D93">
      <w:trPr>
        <w:trHeight w:val="300"/>
      </w:trPr>
      <w:tc>
        <w:tcPr>
          <w:tcW w:w="3120" w:type="dxa"/>
        </w:tcPr>
        <w:p w14:paraId="1427A175" w14:textId="43DA8851" w:rsidR="79F36D93" w:rsidRDefault="79F36D93" w:rsidP="79F36D93">
          <w:pPr>
            <w:pStyle w:val="Encabezado"/>
            <w:ind w:left="-115"/>
          </w:pPr>
        </w:p>
      </w:tc>
      <w:tc>
        <w:tcPr>
          <w:tcW w:w="3120" w:type="dxa"/>
        </w:tcPr>
        <w:p w14:paraId="5AC9B262" w14:textId="40A613AF" w:rsidR="79F36D93" w:rsidRDefault="79F36D93" w:rsidP="79F36D93">
          <w:pPr>
            <w:pStyle w:val="Encabezado"/>
            <w:jc w:val="center"/>
          </w:pPr>
        </w:p>
      </w:tc>
      <w:tc>
        <w:tcPr>
          <w:tcW w:w="3120" w:type="dxa"/>
        </w:tcPr>
        <w:p w14:paraId="3D429BFC" w14:textId="38A0D741" w:rsidR="79F36D93" w:rsidRDefault="79F36D93" w:rsidP="79F36D93">
          <w:pPr>
            <w:pStyle w:val="Encabezado"/>
            <w:ind w:right="-115"/>
            <w:jc w:val="right"/>
          </w:pPr>
        </w:p>
      </w:tc>
    </w:tr>
  </w:tbl>
  <w:p w14:paraId="27857849" w14:textId="7BB4448A" w:rsidR="79F36D93" w:rsidRDefault="79F36D93" w:rsidP="79F36D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4047C" w14:textId="77777777" w:rsidR="00C82048" w:rsidRDefault="00C82048" w:rsidP="00B827E9">
      <w:pPr>
        <w:spacing w:after="0" w:line="240" w:lineRule="auto"/>
      </w:pPr>
      <w:r>
        <w:separator/>
      </w:r>
    </w:p>
  </w:footnote>
  <w:footnote w:type="continuationSeparator" w:id="0">
    <w:p w14:paraId="14A21CAF" w14:textId="77777777" w:rsidR="00C82048" w:rsidRDefault="00C82048" w:rsidP="00B827E9">
      <w:pPr>
        <w:spacing w:after="0" w:line="240" w:lineRule="auto"/>
      </w:pPr>
      <w:r>
        <w:continuationSeparator/>
      </w:r>
    </w:p>
  </w:footnote>
  <w:footnote w:type="continuationNotice" w:id="1">
    <w:p w14:paraId="07AD9E5F" w14:textId="77777777" w:rsidR="00C82048" w:rsidRDefault="00C820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9F36D93" w14:paraId="2966F9E9" w14:textId="77777777" w:rsidTr="79F36D93">
      <w:trPr>
        <w:trHeight w:val="300"/>
      </w:trPr>
      <w:tc>
        <w:tcPr>
          <w:tcW w:w="3120" w:type="dxa"/>
        </w:tcPr>
        <w:p w14:paraId="22BB512B" w14:textId="04456D7A" w:rsidR="79F36D93" w:rsidRDefault="79F36D93" w:rsidP="79F36D93">
          <w:pPr>
            <w:pStyle w:val="Encabezado"/>
            <w:ind w:left="-115"/>
          </w:pPr>
        </w:p>
      </w:tc>
      <w:tc>
        <w:tcPr>
          <w:tcW w:w="3120" w:type="dxa"/>
        </w:tcPr>
        <w:p w14:paraId="0B1BDA33" w14:textId="35C0EC1F" w:rsidR="79F36D93" w:rsidRDefault="79F36D93" w:rsidP="79F36D93">
          <w:pPr>
            <w:pStyle w:val="Encabezado"/>
            <w:jc w:val="center"/>
          </w:pPr>
        </w:p>
      </w:tc>
      <w:tc>
        <w:tcPr>
          <w:tcW w:w="3120" w:type="dxa"/>
        </w:tcPr>
        <w:p w14:paraId="610327DB" w14:textId="6898CA22" w:rsidR="79F36D93" w:rsidRDefault="79F36D93" w:rsidP="79F36D93">
          <w:pPr>
            <w:pStyle w:val="Encabezado"/>
            <w:ind w:right="-115"/>
            <w:jc w:val="right"/>
          </w:pPr>
        </w:p>
      </w:tc>
    </w:tr>
  </w:tbl>
  <w:p w14:paraId="0C3DF24E" w14:textId="601278C4" w:rsidR="79F36D93" w:rsidRDefault="79F36D93" w:rsidP="79F36D9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3A07" w14:textId="77777777" w:rsidR="009C689E" w:rsidRPr="00457494" w:rsidRDefault="009C689E" w:rsidP="009C689E">
    <w:pPr>
      <w:pBdr>
        <w:top w:val="nil"/>
        <w:left w:val="nil"/>
        <w:bottom w:val="nil"/>
        <w:right w:val="nil"/>
        <w:between w:val="nil"/>
      </w:pBdr>
      <w:tabs>
        <w:tab w:val="center" w:pos="4536"/>
        <w:tab w:val="right" w:pos="9072"/>
      </w:tabs>
    </w:pPr>
    <w:r w:rsidRPr="00457494">
      <w:rPr>
        <w:noProof/>
      </w:rPr>
      <w:drawing>
        <wp:inline distT="0" distB="0" distL="0" distR="0" wp14:anchorId="700B9B8C" wp14:editId="085B4CB0">
          <wp:extent cx="2886710" cy="341651"/>
          <wp:effectExtent l="0" t="0" r="8890" b="1270"/>
          <wp:docPr id="444029385" name="Imagen 3">
            <a:extLst xmlns:a="http://schemas.openxmlformats.org/drawingml/2006/main">
              <a:ext uri="{FF2B5EF4-FFF2-40B4-BE49-F238E27FC236}">
                <a16:creationId xmlns:a16="http://schemas.microsoft.com/office/drawing/2014/main" id="{2661F9C5-5F29-4679-90A6-6C1D0D536F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375" cy="370253"/>
                  </a:xfrm>
                  <a:prstGeom prst="rect">
                    <a:avLst/>
                  </a:prstGeom>
                  <a:noFill/>
                  <a:ln>
                    <a:noFill/>
                  </a:ln>
                </pic:spPr>
              </pic:pic>
            </a:graphicData>
          </a:graphic>
        </wp:inline>
      </w:drawing>
    </w:r>
  </w:p>
  <w:p w14:paraId="47561082" w14:textId="77777777" w:rsidR="009C689E" w:rsidRDefault="009C689E" w:rsidP="009C689E">
    <w:pPr>
      <w:pBdr>
        <w:top w:val="nil"/>
        <w:left w:val="nil"/>
        <w:bottom w:val="nil"/>
        <w:right w:val="nil"/>
        <w:between w:val="nil"/>
      </w:pBdr>
      <w:tabs>
        <w:tab w:val="center" w:pos="4536"/>
        <w:tab w:val="right" w:pos="9072"/>
      </w:tabs>
      <w:rPr>
        <w:rFonts w:ascii="BBVABentonSansLight" w:eastAsia="BBVABentonSansLight" w:hAnsi="BBVABentonSansLight" w:cs="BBVABentonSansLight"/>
        <w:color w:val="02A5A5"/>
        <w:sz w:val="32"/>
        <w:szCs w:val="32"/>
      </w:rPr>
    </w:pPr>
    <w:r>
      <w:rPr>
        <w:noProof/>
      </w:rPr>
      <mc:AlternateContent>
        <mc:Choice Requires="wps">
          <w:drawing>
            <wp:anchor distT="0" distB="0" distL="114300" distR="114300" simplePos="0" relativeHeight="251658240" behindDoc="0" locked="0" layoutInCell="1" hidden="0" allowOverlap="1" wp14:anchorId="3199B51C" wp14:editId="70C5BD59">
              <wp:simplePos x="0" y="0"/>
              <wp:positionH relativeFrom="page">
                <wp:posOffset>-4761</wp:posOffset>
              </wp:positionH>
              <wp:positionV relativeFrom="page">
                <wp:posOffset>185738</wp:posOffset>
              </wp:positionV>
              <wp:extent cx="7569835" cy="282575"/>
              <wp:effectExtent l="0" t="0" r="0" b="0"/>
              <wp:wrapNone/>
              <wp:docPr id="5" name="Rectángulo 5" descr="{&quot;HashCode&quot;:417909460,&quot;Height&quot;:841.0,&quot;Width&quot;:595.0,&quot;Placement&quot;:&quot;Header&quot;,&quot;Index&quot;:&quot;FirstPage&quot;,&quot;Section&quot;:1,&quot;Top&quot;:0.0,&quot;Left&quot;:0.0}">
                <a:extLst xmlns:a="http://schemas.openxmlformats.org/drawingml/2006/main">
                  <a:ext uri="{FF2B5EF4-FFF2-40B4-BE49-F238E27FC236}">
                    <a16:creationId xmlns:a16="http://schemas.microsoft.com/office/drawing/2014/main" id="{750B32FB-F737-4B88-B113-4B2442EDE535}"/>
                  </a:ext>
                </a:extLst>
              </wp:docPr>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26A460BE" w14:textId="77777777" w:rsidR="009C689E" w:rsidRDefault="009C689E" w:rsidP="009C689E">
                          <w:pPr>
                            <w:jc w:val="center"/>
                            <w:textDirection w:val="btLr"/>
                          </w:pPr>
                        </w:p>
                      </w:txbxContent>
                    </wps:txbx>
                    <wps:bodyPr spcFirstLastPara="1" wrap="square" lIns="91425" tIns="0" rIns="91425" bIns="0" anchor="t" anchorCtr="0">
                      <a:noAutofit/>
                    </wps:bodyPr>
                  </wps:wsp>
                </a:graphicData>
              </a:graphic>
            </wp:anchor>
          </w:drawing>
        </mc:Choice>
        <mc:Fallback>
          <w:pict>
            <v:rect w14:anchorId="3199B51C" id="Rectángulo 5" o:spid="_x0000_s1026" alt="{&quot;HashCode&quot;:417909460,&quot;Height&quot;:841.0,&quot;Width&quot;:595.0,&quot;Placement&quot;:&quot;Header&quot;,&quot;Index&quot;:&quot;FirstPage&quot;,&quot;Section&quot;:1,&quot;Top&quot;:0.0,&quot;Left&quot;:0.0}" style="position:absolute;margin-left:-.35pt;margin-top:14.65pt;width:596.05pt;height:22.2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" filled="f" stroked="f">
              <v:textbox inset="2.53958mm,0,2.53958mm,0">
                <w:txbxContent>
                  <w:p w14:paraId="26A460BE" w14:textId="77777777" w:rsidR="009C689E" w:rsidRDefault="009C689E" w:rsidP="009C689E">
                    <w:pPr>
                      <w:jc w:val="center"/>
                      <w:textDirection w:val="btLr"/>
                    </w:pPr>
                  </w:p>
                </w:txbxContent>
              </v:textbox>
              <w10:wrap anchorx="page" anchory="page"/>
            </v:rect>
          </w:pict>
        </mc:Fallback>
      </mc:AlternateContent>
    </w:r>
    <w:r>
      <w:t xml:space="preserve">                                                                                                      </w:t>
    </w:r>
    <w:r>
      <w:rPr>
        <w:rFonts w:ascii="BBVABentonSansLight" w:eastAsia="BBVABentonSansLight" w:hAnsi="BBVABentonSansLight" w:cs="BBVABentonSansLight"/>
        <w:color w:val="02A5A5"/>
        <w:sz w:val="32"/>
        <w:szCs w:val="32"/>
      </w:rPr>
      <w:t xml:space="preserve">Nota de </w:t>
    </w:r>
    <w:proofErr w:type="spellStart"/>
    <w:r>
      <w:rPr>
        <w:rFonts w:ascii="BBVABentonSansLight" w:eastAsia="BBVABentonSansLight" w:hAnsi="BBVABentonSansLight" w:cs="BBVABentonSansLight"/>
        <w:color w:val="02A5A5"/>
        <w:sz w:val="32"/>
        <w:szCs w:val="32"/>
      </w:rPr>
      <w:t>prensa</w:t>
    </w:r>
    <w:proofErr w:type="spellEnd"/>
  </w:p>
  <w:p w14:paraId="4BC42FA1" w14:textId="77777777" w:rsidR="009C689E" w:rsidRDefault="009C689E" w:rsidP="009C689E">
    <w:pPr>
      <w:jc w:val="right"/>
      <w:rPr>
        <w:rFonts w:ascii="BBVABentonSansLight" w:eastAsia="BBVABentonSansLight" w:hAnsi="BBVABentonSansLight" w:cs="BBVABentonSansLight"/>
        <w:color w:val="072146"/>
        <w:sz w:val="20"/>
        <w:szCs w:val="20"/>
      </w:rPr>
    </w:pPr>
  </w:p>
  <w:p w14:paraId="38026986" w14:textId="77777777" w:rsidR="009C689E" w:rsidRDefault="009C689E" w:rsidP="009C689E">
    <w:pPr>
      <w:jc w:val="right"/>
      <w:rPr>
        <w:rFonts w:ascii="BBVABentonSansLight" w:eastAsia="BBVABentonSansLight" w:hAnsi="BBVABentonSansLight" w:cs="BBVABentonSansLight"/>
        <w:color w:val="072146"/>
        <w:sz w:val="20"/>
        <w:szCs w:val="20"/>
      </w:rPr>
    </w:pPr>
  </w:p>
  <w:p w14:paraId="4F97079B" w14:textId="7BBC9CE4" w:rsidR="009C689E" w:rsidRDefault="00A25F17" w:rsidP="79F36D93">
    <w:pPr>
      <w:jc w:val="right"/>
      <w:rPr>
        <w:rFonts w:ascii="BBVABentonSansLight" w:eastAsia="BBVABentonSansLight" w:hAnsi="BBVABentonSansLight" w:cs="BBVABentonSansLight"/>
        <w:color w:val="072146"/>
        <w:sz w:val="20"/>
        <w:szCs w:val="20"/>
      </w:rPr>
    </w:pPr>
    <w:r>
      <w:rPr>
        <w:rFonts w:ascii="BBVABentonSansLight" w:eastAsia="BBVABentonSansLight" w:hAnsi="BBVABentonSansLight" w:cs="BBVABentonSansLight"/>
        <w:color w:val="072146"/>
        <w:sz w:val="20"/>
        <w:szCs w:val="20"/>
      </w:rPr>
      <w:t>31</w:t>
    </w:r>
    <w:r w:rsidR="464898A2" w:rsidRPr="79F36D93">
      <w:rPr>
        <w:rFonts w:ascii="BBVABentonSansLight" w:eastAsia="BBVABentonSansLight" w:hAnsi="BBVABentonSansLight" w:cs="BBVABentonSansLight"/>
        <w:color w:val="072146"/>
        <w:sz w:val="20"/>
        <w:szCs w:val="20"/>
      </w:rPr>
      <w:t>, 0</w:t>
    </w:r>
    <w:r>
      <w:rPr>
        <w:rFonts w:ascii="BBVABentonSansLight" w:eastAsia="BBVABentonSansLight" w:hAnsi="BBVABentonSansLight" w:cs="BBVABentonSansLight"/>
        <w:color w:val="072146"/>
        <w:sz w:val="20"/>
        <w:szCs w:val="20"/>
      </w:rPr>
      <w:t>8</w:t>
    </w:r>
    <w:r w:rsidR="464898A2" w:rsidRPr="79F36D93">
      <w:rPr>
        <w:rFonts w:ascii="BBVABentonSansLight" w:eastAsia="BBVABentonSansLight" w:hAnsi="BBVABentonSansLight" w:cs="BBVABentonSansLight"/>
        <w:color w:val="072146"/>
        <w:sz w:val="20"/>
        <w:szCs w:val="20"/>
      </w:rPr>
      <w:t>, 2026</w:t>
    </w:r>
  </w:p>
  <w:p w14:paraId="55470938" w14:textId="77777777" w:rsidR="00B827E9" w:rsidRDefault="00B827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2809"/>
    <w:multiLevelType w:val="multilevel"/>
    <w:tmpl w:val="46E65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4712F"/>
    <w:multiLevelType w:val="hybridMultilevel"/>
    <w:tmpl w:val="DCD80004"/>
    <w:lvl w:ilvl="0" w:tplc="13A0244A">
      <w:start w:val="1"/>
      <w:numFmt w:val="bullet"/>
      <w:lvlText w:val="•"/>
      <w:lvlJc w:val="left"/>
      <w:pPr>
        <w:tabs>
          <w:tab w:val="num" w:pos="720"/>
        </w:tabs>
        <w:ind w:left="720" w:hanging="360"/>
      </w:pPr>
      <w:rPr>
        <w:rFonts w:ascii="Arial" w:hAnsi="Arial" w:hint="default"/>
      </w:rPr>
    </w:lvl>
    <w:lvl w:ilvl="1" w:tplc="852C87B2" w:tentative="1">
      <w:start w:val="1"/>
      <w:numFmt w:val="bullet"/>
      <w:lvlText w:val="•"/>
      <w:lvlJc w:val="left"/>
      <w:pPr>
        <w:tabs>
          <w:tab w:val="num" w:pos="1440"/>
        </w:tabs>
        <w:ind w:left="1440" w:hanging="360"/>
      </w:pPr>
      <w:rPr>
        <w:rFonts w:ascii="Arial" w:hAnsi="Arial" w:hint="default"/>
      </w:rPr>
    </w:lvl>
    <w:lvl w:ilvl="2" w:tplc="2700B740" w:tentative="1">
      <w:start w:val="1"/>
      <w:numFmt w:val="bullet"/>
      <w:lvlText w:val="•"/>
      <w:lvlJc w:val="left"/>
      <w:pPr>
        <w:tabs>
          <w:tab w:val="num" w:pos="2160"/>
        </w:tabs>
        <w:ind w:left="2160" w:hanging="360"/>
      </w:pPr>
      <w:rPr>
        <w:rFonts w:ascii="Arial" w:hAnsi="Arial" w:hint="default"/>
      </w:rPr>
    </w:lvl>
    <w:lvl w:ilvl="3" w:tplc="979CB728" w:tentative="1">
      <w:start w:val="1"/>
      <w:numFmt w:val="bullet"/>
      <w:lvlText w:val="•"/>
      <w:lvlJc w:val="left"/>
      <w:pPr>
        <w:tabs>
          <w:tab w:val="num" w:pos="2880"/>
        </w:tabs>
        <w:ind w:left="2880" w:hanging="360"/>
      </w:pPr>
      <w:rPr>
        <w:rFonts w:ascii="Arial" w:hAnsi="Arial" w:hint="default"/>
      </w:rPr>
    </w:lvl>
    <w:lvl w:ilvl="4" w:tplc="28CED272" w:tentative="1">
      <w:start w:val="1"/>
      <w:numFmt w:val="bullet"/>
      <w:lvlText w:val="•"/>
      <w:lvlJc w:val="left"/>
      <w:pPr>
        <w:tabs>
          <w:tab w:val="num" w:pos="3600"/>
        </w:tabs>
        <w:ind w:left="3600" w:hanging="360"/>
      </w:pPr>
      <w:rPr>
        <w:rFonts w:ascii="Arial" w:hAnsi="Arial" w:hint="default"/>
      </w:rPr>
    </w:lvl>
    <w:lvl w:ilvl="5" w:tplc="199A7F9E" w:tentative="1">
      <w:start w:val="1"/>
      <w:numFmt w:val="bullet"/>
      <w:lvlText w:val="•"/>
      <w:lvlJc w:val="left"/>
      <w:pPr>
        <w:tabs>
          <w:tab w:val="num" w:pos="4320"/>
        </w:tabs>
        <w:ind w:left="4320" w:hanging="360"/>
      </w:pPr>
      <w:rPr>
        <w:rFonts w:ascii="Arial" w:hAnsi="Arial" w:hint="default"/>
      </w:rPr>
    </w:lvl>
    <w:lvl w:ilvl="6" w:tplc="3E4C4A88" w:tentative="1">
      <w:start w:val="1"/>
      <w:numFmt w:val="bullet"/>
      <w:lvlText w:val="•"/>
      <w:lvlJc w:val="left"/>
      <w:pPr>
        <w:tabs>
          <w:tab w:val="num" w:pos="5040"/>
        </w:tabs>
        <w:ind w:left="5040" w:hanging="360"/>
      </w:pPr>
      <w:rPr>
        <w:rFonts w:ascii="Arial" w:hAnsi="Arial" w:hint="default"/>
      </w:rPr>
    </w:lvl>
    <w:lvl w:ilvl="7" w:tplc="A6D8322C" w:tentative="1">
      <w:start w:val="1"/>
      <w:numFmt w:val="bullet"/>
      <w:lvlText w:val="•"/>
      <w:lvlJc w:val="left"/>
      <w:pPr>
        <w:tabs>
          <w:tab w:val="num" w:pos="5760"/>
        </w:tabs>
        <w:ind w:left="5760" w:hanging="360"/>
      </w:pPr>
      <w:rPr>
        <w:rFonts w:ascii="Arial" w:hAnsi="Arial" w:hint="default"/>
      </w:rPr>
    </w:lvl>
    <w:lvl w:ilvl="8" w:tplc="27C0605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8641DF"/>
    <w:multiLevelType w:val="hybridMultilevel"/>
    <w:tmpl w:val="8BC2FAEC"/>
    <w:lvl w:ilvl="0" w:tplc="C88884A8">
      <w:start w:val="1"/>
      <w:numFmt w:val="bullet"/>
      <w:lvlText w:val="•"/>
      <w:lvlJc w:val="left"/>
      <w:pPr>
        <w:tabs>
          <w:tab w:val="num" w:pos="720"/>
        </w:tabs>
        <w:ind w:left="720" w:hanging="360"/>
      </w:pPr>
      <w:rPr>
        <w:rFonts w:ascii="Arial" w:hAnsi="Arial" w:hint="default"/>
      </w:rPr>
    </w:lvl>
    <w:lvl w:ilvl="1" w:tplc="9EBE4C28" w:tentative="1">
      <w:start w:val="1"/>
      <w:numFmt w:val="bullet"/>
      <w:lvlText w:val="•"/>
      <w:lvlJc w:val="left"/>
      <w:pPr>
        <w:tabs>
          <w:tab w:val="num" w:pos="1440"/>
        </w:tabs>
        <w:ind w:left="1440" w:hanging="360"/>
      </w:pPr>
      <w:rPr>
        <w:rFonts w:ascii="Arial" w:hAnsi="Arial" w:hint="default"/>
      </w:rPr>
    </w:lvl>
    <w:lvl w:ilvl="2" w:tplc="1F681CAC" w:tentative="1">
      <w:start w:val="1"/>
      <w:numFmt w:val="bullet"/>
      <w:lvlText w:val="•"/>
      <w:lvlJc w:val="left"/>
      <w:pPr>
        <w:tabs>
          <w:tab w:val="num" w:pos="2160"/>
        </w:tabs>
        <w:ind w:left="2160" w:hanging="360"/>
      </w:pPr>
      <w:rPr>
        <w:rFonts w:ascii="Arial" w:hAnsi="Arial" w:hint="default"/>
      </w:rPr>
    </w:lvl>
    <w:lvl w:ilvl="3" w:tplc="72C2DDBA" w:tentative="1">
      <w:start w:val="1"/>
      <w:numFmt w:val="bullet"/>
      <w:lvlText w:val="•"/>
      <w:lvlJc w:val="left"/>
      <w:pPr>
        <w:tabs>
          <w:tab w:val="num" w:pos="2880"/>
        </w:tabs>
        <w:ind w:left="2880" w:hanging="360"/>
      </w:pPr>
      <w:rPr>
        <w:rFonts w:ascii="Arial" w:hAnsi="Arial" w:hint="default"/>
      </w:rPr>
    </w:lvl>
    <w:lvl w:ilvl="4" w:tplc="DE982E68" w:tentative="1">
      <w:start w:val="1"/>
      <w:numFmt w:val="bullet"/>
      <w:lvlText w:val="•"/>
      <w:lvlJc w:val="left"/>
      <w:pPr>
        <w:tabs>
          <w:tab w:val="num" w:pos="3600"/>
        </w:tabs>
        <w:ind w:left="3600" w:hanging="360"/>
      </w:pPr>
      <w:rPr>
        <w:rFonts w:ascii="Arial" w:hAnsi="Arial" w:hint="default"/>
      </w:rPr>
    </w:lvl>
    <w:lvl w:ilvl="5" w:tplc="A176D5A8" w:tentative="1">
      <w:start w:val="1"/>
      <w:numFmt w:val="bullet"/>
      <w:lvlText w:val="•"/>
      <w:lvlJc w:val="left"/>
      <w:pPr>
        <w:tabs>
          <w:tab w:val="num" w:pos="4320"/>
        </w:tabs>
        <w:ind w:left="4320" w:hanging="360"/>
      </w:pPr>
      <w:rPr>
        <w:rFonts w:ascii="Arial" w:hAnsi="Arial" w:hint="default"/>
      </w:rPr>
    </w:lvl>
    <w:lvl w:ilvl="6" w:tplc="3A10FE2C">
      <w:numFmt w:val="bullet"/>
      <w:lvlText w:val="o"/>
      <w:lvlJc w:val="left"/>
      <w:pPr>
        <w:tabs>
          <w:tab w:val="num" w:pos="5040"/>
        </w:tabs>
        <w:ind w:left="5040" w:hanging="360"/>
      </w:pPr>
      <w:rPr>
        <w:rFonts w:ascii="Courier New" w:hAnsi="Courier New" w:hint="default"/>
      </w:rPr>
    </w:lvl>
    <w:lvl w:ilvl="7" w:tplc="934E8EBA" w:tentative="1">
      <w:start w:val="1"/>
      <w:numFmt w:val="bullet"/>
      <w:lvlText w:val="•"/>
      <w:lvlJc w:val="left"/>
      <w:pPr>
        <w:tabs>
          <w:tab w:val="num" w:pos="5760"/>
        </w:tabs>
        <w:ind w:left="5760" w:hanging="360"/>
      </w:pPr>
      <w:rPr>
        <w:rFonts w:ascii="Arial" w:hAnsi="Arial" w:hint="default"/>
      </w:rPr>
    </w:lvl>
    <w:lvl w:ilvl="8" w:tplc="F194826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8EA0629"/>
    <w:multiLevelType w:val="hybridMultilevel"/>
    <w:tmpl w:val="FAFEAFCE"/>
    <w:lvl w:ilvl="0" w:tplc="260E480E">
      <w:start w:val="1"/>
      <w:numFmt w:val="bullet"/>
      <w:lvlText w:val="•"/>
      <w:lvlJc w:val="left"/>
      <w:pPr>
        <w:tabs>
          <w:tab w:val="num" w:pos="720"/>
        </w:tabs>
        <w:ind w:left="720" w:hanging="360"/>
      </w:pPr>
      <w:rPr>
        <w:rFonts w:ascii="Arial" w:hAnsi="Arial" w:hint="default"/>
      </w:rPr>
    </w:lvl>
    <w:lvl w:ilvl="1" w:tplc="CFE043DA" w:tentative="1">
      <w:start w:val="1"/>
      <w:numFmt w:val="bullet"/>
      <w:lvlText w:val="•"/>
      <w:lvlJc w:val="left"/>
      <w:pPr>
        <w:tabs>
          <w:tab w:val="num" w:pos="1440"/>
        </w:tabs>
        <w:ind w:left="1440" w:hanging="360"/>
      </w:pPr>
      <w:rPr>
        <w:rFonts w:ascii="Arial" w:hAnsi="Arial" w:hint="default"/>
      </w:rPr>
    </w:lvl>
    <w:lvl w:ilvl="2" w:tplc="5BD8E7DA" w:tentative="1">
      <w:start w:val="1"/>
      <w:numFmt w:val="bullet"/>
      <w:lvlText w:val="•"/>
      <w:lvlJc w:val="left"/>
      <w:pPr>
        <w:tabs>
          <w:tab w:val="num" w:pos="2160"/>
        </w:tabs>
        <w:ind w:left="2160" w:hanging="360"/>
      </w:pPr>
      <w:rPr>
        <w:rFonts w:ascii="Arial" w:hAnsi="Arial" w:hint="default"/>
      </w:rPr>
    </w:lvl>
    <w:lvl w:ilvl="3" w:tplc="430EFBE4" w:tentative="1">
      <w:start w:val="1"/>
      <w:numFmt w:val="bullet"/>
      <w:lvlText w:val="•"/>
      <w:lvlJc w:val="left"/>
      <w:pPr>
        <w:tabs>
          <w:tab w:val="num" w:pos="2880"/>
        </w:tabs>
        <w:ind w:left="2880" w:hanging="360"/>
      </w:pPr>
      <w:rPr>
        <w:rFonts w:ascii="Arial" w:hAnsi="Arial" w:hint="default"/>
      </w:rPr>
    </w:lvl>
    <w:lvl w:ilvl="4" w:tplc="F5FC52C0" w:tentative="1">
      <w:start w:val="1"/>
      <w:numFmt w:val="bullet"/>
      <w:lvlText w:val="•"/>
      <w:lvlJc w:val="left"/>
      <w:pPr>
        <w:tabs>
          <w:tab w:val="num" w:pos="3600"/>
        </w:tabs>
        <w:ind w:left="3600" w:hanging="360"/>
      </w:pPr>
      <w:rPr>
        <w:rFonts w:ascii="Arial" w:hAnsi="Arial" w:hint="default"/>
      </w:rPr>
    </w:lvl>
    <w:lvl w:ilvl="5" w:tplc="F252BB7A" w:tentative="1">
      <w:start w:val="1"/>
      <w:numFmt w:val="bullet"/>
      <w:lvlText w:val="•"/>
      <w:lvlJc w:val="left"/>
      <w:pPr>
        <w:tabs>
          <w:tab w:val="num" w:pos="4320"/>
        </w:tabs>
        <w:ind w:left="4320" w:hanging="360"/>
      </w:pPr>
      <w:rPr>
        <w:rFonts w:ascii="Arial" w:hAnsi="Arial" w:hint="default"/>
      </w:rPr>
    </w:lvl>
    <w:lvl w:ilvl="6" w:tplc="D9C02F66" w:tentative="1">
      <w:start w:val="1"/>
      <w:numFmt w:val="bullet"/>
      <w:lvlText w:val="•"/>
      <w:lvlJc w:val="left"/>
      <w:pPr>
        <w:tabs>
          <w:tab w:val="num" w:pos="5040"/>
        </w:tabs>
        <w:ind w:left="5040" w:hanging="360"/>
      </w:pPr>
      <w:rPr>
        <w:rFonts w:ascii="Arial" w:hAnsi="Arial" w:hint="default"/>
      </w:rPr>
    </w:lvl>
    <w:lvl w:ilvl="7" w:tplc="ABD80CF6" w:tentative="1">
      <w:start w:val="1"/>
      <w:numFmt w:val="bullet"/>
      <w:lvlText w:val="•"/>
      <w:lvlJc w:val="left"/>
      <w:pPr>
        <w:tabs>
          <w:tab w:val="num" w:pos="5760"/>
        </w:tabs>
        <w:ind w:left="5760" w:hanging="360"/>
      </w:pPr>
      <w:rPr>
        <w:rFonts w:ascii="Arial" w:hAnsi="Arial" w:hint="default"/>
      </w:rPr>
    </w:lvl>
    <w:lvl w:ilvl="8" w:tplc="981292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15D21A4"/>
    <w:multiLevelType w:val="multilevel"/>
    <w:tmpl w:val="AEF0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4240C9"/>
    <w:multiLevelType w:val="multilevel"/>
    <w:tmpl w:val="62D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BD3414"/>
    <w:multiLevelType w:val="multilevel"/>
    <w:tmpl w:val="39B2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2C4872"/>
    <w:multiLevelType w:val="hybridMultilevel"/>
    <w:tmpl w:val="00B20BC6"/>
    <w:lvl w:ilvl="0" w:tplc="ECC618B8">
      <w:start w:val="1"/>
      <w:numFmt w:val="bullet"/>
      <w:lvlText w:val="•"/>
      <w:lvlJc w:val="left"/>
      <w:pPr>
        <w:tabs>
          <w:tab w:val="num" w:pos="720"/>
        </w:tabs>
        <w:ind w:left="720" w:hanging="360"/>
      </w:pPr>
      <w:rPr>
        <w:rFonts w:ascii="Arial" w:hAnsi="Arial" w:hint="default"/>
      </w:rPr>
    </w:lvl>
    <w:lvl w:ilvl="1" w:tplc="9CCCCDBA" w:tentative="1">
      <w:start w:val="1"/>
      <w:numFmt w:val="bullet"/>
      <w:lvlText w:val="•"/>
      <w:lvlJc w:val="left"/>
      <w:pPr>
        <w:tabs>
          <w:tab w:val="num" w:pos="1440"/>
        </w:tabs>
        <w:ind w:left="1440" w:hanging="360"/>
      </w:pPr>
      <w:rPr>
        <w:rFonts w:ascii="Arial" w:hAnsi="Arial" w:hint="default"/>
      </w:rPr>
    </w:lvl>
    <w:lvl w:ilvl="2" w:tplc="D5B07860" w:tentative="1">
      <w:start w:val="1"/>
      <w:numFmt w:val="bullet"/>
      <w:lvlText w:val="•"/>
      <w:lvlJc w:val="left"/>
      <w:pPr>
        <w:tabs>
          <w:tab w:val="num" w:pos="2160"/>
        </w:tabs>
        <w:ind w:left="2160" w:hanging="360"/>
      </w:pPr>
      <w:rPr>
        <w:rFonts w:ascii="Arial" w:hAnsi="Arial" w:hint="default"/>
      </w:rPr>
    </w:lvl>
    <w:lvl w:ilvl="3" w:tplc="634CB752" w:tentative="1">
      <w:start w:val="1"/>
      <w:numFmt w:val="bullet"/>
      <w:lvlText w:val="•"/>
      <w:lvlJc w:val="left"/>
      <w:pPr>
        <w:tabs>
          <w:tab w:val="num" w:pos="2880"/>
        </w:tabs>
        <w:ind w:left="2880" w:hanging="360"/>
      </w:pPr>
      <w:rPr>
        <w:rFonts w:ascii="Arial" w:hAnsi="Arial" w:hint="default"/>
      </w:rPr>
    </w:lvl>
    <w:lvl w:ilvl="4" w:tplc="76480BC4" w:tentative="1">
      <w:start w:val="1"/>
      <w:numFmt w:val="bullet"/>
      <w:lvlText w:val="•"/>
      <w:lvlJc w:val="left"/>
      <w:pPr>
        <w:tabs>
          <w:tab w:val="num" w:pos="3600"/>
        </w:tabs>
        <w:ind w:left="3600" w:hanging="360"/>
      </w:pPr>
      <w:rPr>
        <w:rFonts w:ascii="Arial" w:hAnsi="Arial" w:hint="default"/>
      </w:rPr>
    </w:lvl>
    <w:lvl w:ilvl="5" w:tplc="DEA4DA88" w:tentative="1">
      <w:start w:val="1"/>
      <w:numFmt w:val="bullet"/>
      <w:lvlText w:val="•"/>
      <w:lvlJc w:val="left"/>
      <w:pPr>
        <w:tabs>
          <w:tab w:val="num" w:pos="4320"/>
        </w:tabs>
        <w:ind w:left="4320" w:hanging="360"/>
      </w:pPr>
      <w:rPr>
        <w:rFonts w:ascii="Arial" w:hAnsi="Arial" w:hint="default"/>
      </w:rPr>
    </w:lvl>
    <w:lvl w:ilvl="6" w:tplc="0BC4D270" w:tentative="1">
      <w:start w:val="1"/>
      <w:numFmt w:val="bullet"/>
      <w:lvlText w:val="•"/>
      <w:lvlJc w:val="left"/>
      <w:pPr>
        <w:tabs>
          <w:tab w:val="num" w:pos="5040"/>
        </w:tabs>
        <w:ind w:left="5040" w:hanging="360"/>
      </w:pPr>
      <w:rPr>
        <w:rFonts w:ascii="Arial" w:hAnsi="Arial" w:hint="default"/>
      </w:rPr>
    </w:lvl>
    <w:lvl w:ilvl="7" w:tplc="99446BF0" w:tentative="1">
      <w:start w:val="1"/>
      <w:numFmt w:val="bullet"/>
      <w:lvlText w:val="•"/>
      <w:lvlJc w:val="left"/>
      <w:pPr>
        <w:tabs>
          <w:tab w:val="num" w:pos="5760"/>
        </w:tabs>
        <w:ind w:left="5760" w:hanging="360"/>
      </w:pPr>
      <w:rPr>
        <w:rFonts w:ascii="Arial" w:hAnsi="Arial" w:hint="default"/>
      </w:rPr>
    </w:lvl>
    <w:lvl w:ilvl="8" w:tplc="44E0988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8AB42B1"/>
    <w:multiLevelType w:val="hybridMultilevel"/>
    <w:tmpl w:val="1B6E9A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54357059">
    <w:abstractNumId w:val="0"/>
  </w:num>
  <w:num w:numId="2" w16cid:durableId="143476255">
    <w:abstractNumId w:val="3"/>
  </w:num>
  <w:num w:numId="3" w16cid:durableId="1824002479">
    <w:abstractNumId w:val="2"/>
  </w:num>
  <w:num w:numId="4" w16cid:durableId="1841501579">
    <w:abstractNumId w:val="5"/>
  </w:num>
  <w:num w:numId="5" w16cid:durableId="2003241012">
    <w:abstractNumId w:val="6"/>
  </w:num>
  <w:num w:numId="6" w16cid:durableId="280234338">
    <w:abstractNumId w:val="1"/>
  </w:num>
  <w:num w:numId="7" w16cid:durableId="309485353">
    <w:abstractNumId w:val="7"/>
  </w:num>
  <w:num w:numId="8" w16cid:durableId="602105923">
    <w:abstractNumId w:val="4"/>
  </w:num>
  <w:num w:numId="9" w16cid:durableId="8114080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9D"/>
    <w:rsid w:val="00003A5F"/>
    <w:rsid w:val="000664AA"/>
    <w:rsid w:val="00073F1C"/>
    <w:rsid w:val="00084FE2"/>
    <w:rsid w:val="00095A63"/>
    <w:rsid w:val="000D5D83"/>
    <w:rsid w:val="00100C9D"/>
    <w:rsid w:val="001079D9"/>
    <w:rsid w:val="00122A7D"/>
    <w:rsid w:val="00124A9D"/>
    <w:rsid w:val="00131821"/>
    <w:rsid w:val="0013451F"/>
    <w:rsid w:val="001517E5"/>
    <w:rsid w:val="00173A20"/>
    <w:rsid w:val="00185341"/>
    <w:rsid w:val="001B1C68"/>
    <w:rsid w:val="001B23A8"/>
    <w:rsid w:val="001B2E56"/>
    <w:rsid w:val="001B44AC"/>
    <w:rsid w:val="001C2E18"/>
    <w:rsid w:val="001C3D56"/>
    <w:rsid w:val="001D4A09"/>
    <w:rsid w:val="00205B97"/>
    <w:rsid w:val="002142AA"/>
    <w:rsid w:val="002279C7"/>
    <w:rsid w:val="00244B89"/>
    <w:rsid w:val="002469B0"/>
    <w:rsid w:val="00252BE9"/>
    <w:rsid w:val="00266B7A"/>
    <w:rsid w:val="00295862"/>
    <w:rsid w:val="002A7C3D"/>
    <w:rsid w:val="002B0062"/>
    <w:rsid w:val="002B5AE2"/>
    <w:rsid w:val="002B6309"/>
    <w:rsid w:val="002C0B63"/>
    <w:rsid w:val="002C387E"/>
    <w:rsid w:val="002C67E3"/>
    <w:rsid w:val="002C6B70"/>
    <w:rsid w:val="002D70BD"/>
    <w:rsid w:val="002F702F"/>
    <w:rsid w:val="00300E60"/>
    <w:rsid w:val="003052DE"/>
    <w:rsid w:val="003112D4"/>
    <w:rsid w:val="003152C9"/>
    <w:rsid w:val="003155B9"/>
    <w:rsid w:val="003157B6"/>
    <w:rsid w:val="0032405E"/>
    <w:rsid w:val="00357D9D"/>
    <w:rsid w:val="00371123"/>
    <w:rsid w:val="00375852"/>
    <w:rsid w:val="00384786"/>
    <w:rsid w:val="003870F6"/>
    <w:rsid w:val="003978A2"/>
    <w:rsid w:val="003B5023"/>
    <w:rsid w:val="003B7469"/>
    <w:rsid w:val="003E18AC"/>
    <w:rsid w:val="003E3CF4"/>
    <w:rsid w:val="003F175C"/>
    <w:rsid w:val="003F294C"/>
    <w:rsid w:val="00416774"/>
    <w:rsid w:val="00461F36"/>
    <w:rsid w:val="00484FB9"/>
    <w:rsid w:val="00491FB5"/>
    <w:rsid w:val="0049298E"/>
    <w:rsid w:val="00492B7A"/>
    <w:rsid w:val="00494D8D"/>
    <w:rsid w:val="004A0075"/>
    <w:rsid w:val="004B4401"/>
    <w:rsid w:val="004D228D"/>
    <w:rsid w:val="004D4328"/>
    <w:rsid w:val="004F6820"/>
    <w:rsid w:val="00551BDA"/>
    <w:rsid w:val="00552C18"/>
    <w:rsid w:val="00580106"/>
    <w:rsid w:val="00584DF0"/>
    <w:rsid w:val="005879DB"/>
    <w:rsid w:val="00591A76"/>
    <w:rsid w:val="00595C40"/>
    <w:rsid w:val="005A1717"/>
    <w:rsid w:val="005A3F2E"/>
    <w:rsid w:val="005A48E7"/>
    <w:rsid w:val="005B283E"/>
    <w:rsid w:val="005B5B9F"/>
    <w:rsid w:val="005D26E4"/>
    <w:rsid w:val="005D72DE"/>
    <w:rsid w:val="00616974"/>
    <w:rsid w:val="00623AE2"/>
    <w:rsid w:val="00625931"/>
    <w:rsid w:val="006260F4"/>
    <w:rsid w:val="00626855"/>
    <w:rsid w:val="00671FB4"/>
    <w:rsid w:val="00676C57"/>
    <w:rsid w:val="00684F37"/>
    <w:rsid w:val="006B07CB"/>
    <w:rsid w:val="006C62E1"/>
    <w:rsid w:val="006D380F"/>
    <w:rsid w:val="006E2110"/>
    <w:rsid w:val="006F066E"/>
    <w:rsid w:val="00751AA8"/>
    <w:rsid w:val="00755F2C"/>
    <w:rsid w:val="007606C0"/>
    <w:rsid w:val="00780690"/>
    <w:rsid w:val="0078171E"/>
    <w:rsid w:val="007C1648"/>
    <w:rsid w:val="007E2496"/>
    <w:rsid w:val="007F1237"/>
    <w:rsid w:val="0083405C"/>
    <w:rsid w:val="008357AE"/>
    <w:rsid w:val="00865A81"/>
    <w:rsid w:val="00884FA2"/>
    <w:rsid w:val="00895276"/>
    <w:rsid w:val="008A5E2B"/>
    <w:rsid w:val="008C62E4"/>
    <w:rsid w:val="008E3DD0"/>
    <w:rsid w:val="008F4AC8"/>
    <w:rsid w:val="009071CB"/>
    <w:rsid w:val="00916DED"/>
    <w:rsid w:val="00972BB5"/>
    <w:rsid w:val="00980503"/>
    <w:rsid w:val="009B4DEF"/>
    <w:rsid w:val="009C689E"/>
    <w:rsid w:val="00A000C9"/>
    <w:rsid w:val="00A05428"/>
    <w:rsid w:val="00A255A1"/>
    <w:rsid w:val="00A25F17"/>
    <w:rsid w:val="00A31BA1"/>
    <w:rsid w:val="00A37553"/>
    <w:rsid w:val="00A37D66"/>
    <w:rsid w:val="00A51323"/>
    <w:rsid w:val="00A75B26"/>
    <w:rsid w:val="00A77686"/>
    <w:rsid w:val="00A877A6"/>
    <w:rsid w:val="00AA1EE3"/>
    <w:rsid w:val="00AB782E"/>
    <w:rsid w:val="00AC2C02"/>
    <w:rsid w:val="00B04B9A"/>
    <w:rsid w:val="00B21CAD"/>
    <w:rsid w:val="00B346B1"/>
    <w:rsid w:val="00B40BB5"/>
    <w:rsid w:val="00B4673B"/>
    <w:rsid w:val="00B6046F"/>
    <w:rsid w:val="00B612AD"/>
    <w:rsid w:val="00B71EA2"/>
    <w:rsid w:val="00B77BE7"/>
    <w:rsid w:val="00B81F04"/>
    <w:rsid w:val="00B827E9"/>
    <w:rsid w:val="00BA6CCF"/>
    <w:rsid w:val="00BC26A0"/>
    <w:rsid w:val="00BD3589"/>
    <w:rsid w:val="00C2357B"/>
    <w:rsid w:val="00C23D77"/>
    <w:rsid w:val="00C3029D"/>
    <w:rsid w:val="00C76074"/>
    <w:rsid w:val="00C82048"/>
    <w:rsid w:val="00C95436"/>
    <w:rsid w:val="00CA3668"/>
    <w:rsid w:val="00CA5C72"/>
    <w:rsid w:val="00CB0808"/>
    <w:rsid w:val="00CB37F1"/>
    <w:rsid w:val="00CC4B12"/>
    <w:rsid w:val="00CD474F"/>
    <w:rsid w:val="00CE487E"/>
    <w:rsid w:val="00D01153"/>
    <w:rsid w:val="00D20636"/>
    <w:rsid w:val="00D27AB8"/>
    <w:rsid w:val="00D360B2"/>
    <w:rsid w:val="00D550E5"/>
    <w:rsid w:val="00D57EEF"/>
    <w:rsid w:val="00D94718"/>
    <w:rsid w:val="00DD0786"/>
    <w:rsid w:val="00DD20E3"/>
    <w:rsid w:val="00DD367F"/>
    <w:rsid w:val="00DD5CE1"/>
    <w:rsid w:val="00DD5FED"/>
    <w:rsid w:val="00DE231D"/>
    <w:rsid w:val="00DE656D"/>
    <w:rsid w:val="00E04A5C"/>
    <w:rsid w:val="00E14C64"/>
    <w:rsid w:val="00E2319F"/>
    <w:rsid w:val="00E23475"/>
    <w:rsid w:val="00E424AC"/>
    <w:rsid w:val="00E43187"/>
    <w:rsid w:val="00E4344D"/>
    <w:rsid w:val="00E46030"/>
    <w:rsid w:val="00EA1802"/>
    <w:rsid w:val="00EB6CCB"/>
    <w:rsid w:val="00EE26ED"/>
    <w:rsid w:val="00EE4E73"/>
    <w:rsid w:val="00EF4DB8"/>
    <w:rsid w:val="00F019D1"/>
    <w:rsid w:val="00F16FA3"/>
    <w:rsid w:val="00F26425"/>
    <w:rsid w:val="00F464D8"/>
    <w:rsid w:val="00F50257"/>
    <w:rsid w:val="00F54053"/>
    <w:rsid w:val="00F60FA5"/>
    <w:rsid w:val="00F84EC1"/>
    <w:rsid w:val="00F960AB"/>
    <w:rsid w:val="00FE3810"/>
    <w:rsid w:val="09793D44"/>
    <w:rsid w:val="10714552"/>
    <w:rsid w:val="128B4574"/>
    <w:rsid w:val="150EB5A0"/>
    <w:rsid w:val="18E06B46"/>
    <w:rsid w:val="2C2CC042"/>
    <w:rsid w:val="30EB5EFB"/>
    <w:rsid w:val="334D59C3"/>
    <w:rsid w:val="3E7442A1"/>
    <w:rsid w:val="4241FCB8"/>
    <w:rsid w:val="464898A2"/>
    <w:rsid w:val="4F7350D5"/>
    <w:rsid w:val="50D229BB"/>
    <w:rsid w:val="5A24B2FC"/>
    <w:rsid w:val="5C5A073B"/>
    <w:rsid w:val="5C7A09EC"/>
    <w:rsid w:val="5DC39ECE"/>
    <w:rsid w:val="671441EC"/>
    <w:rsid w:val="6FAC792D"/>
    <w:rsid w:val="72213343"/>
    <w:rsid w:val="7585D8F6"/>
    <w:rsid w:val="79F36D93"/>
    <w:rsid w:val="7E5CEECE"/>
    <w:rsid w:val="7E940D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21DF0"/>
  <w15:chartTrackingRefBased/>
  <w15:docId w15:val="{ABEF836C-AB6B-4C10-8F03-9BD1790B5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302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02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029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029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029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029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029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029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029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029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029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029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029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029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029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029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029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029D"/>
    <w:rPr>
      <w:rFonts w:eastAsiaTheme="majorEastAsia" w:cstheme="majorBidi"/>
      <w:color w:val="272727" w:themeColor="text1" w:themeTint="D8"/>
    </w:rPr>
  </w:style>
  <w:style w:type="paragraph" w:styleId="Ttulo">
    <w:name w:val="Title"/>
    <w:basedOn w:val="Normal"/>
    <w:next w:val="Normal"/>
    <w:link w:val="TtuloCar"/>
    <w:uiPriority w:val="10"/>
    <w:qFormat/>
    <w:rsid w:val="00C30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02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029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029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029D"/>
    <w:pPr>
      <w:spacing w:before="160"/>
      <w:jc w:val="center"/>
    </w:pPr>
    <w:rPr>
      <w:i/>
      <w:iCs/>
      <w:color w:val="404040" w:themeColor="text1" w:themeTint="BF"/>
    </w:rPr>
  </w:style>
  <w:style w:type="character" w:customStyle="1" w:styleId="CitaCar">
    <w:name w:val="Cita Car"/>
    <w:basedOn w:val="Fuentedeprrafopredeter"/>
    <w:link w:val="Cita"/>
    <w:uiPriority w:val="29"/>
    <w:rsid w:val="00C3029D"/>
    <w:rPr>
      <w:i/>
      <w:iCs/>
      <w:color w:val="404040" w:themeColor="text1" w:themeTint="BF"/>
    </w:rPr>
  </w:style>
  <w:style w:type="paragraph" w:styleId="Prrafodelista">
    <w:name w:val="List Paragraph"/>
    <w:basedOn w:val="Normal"/>
    <w:uiPriority w:val="34"/>
    <w:qFormat/>
    <w:rsid w:val="00C3029D"/>
    <w:pPr>
      <w:ind w:left="720"/>
      <w:contextualSpacing/>
    </w:pPr>
  </w:style>
  <w:style w:type="character" w:styleId="nfasisintenso">
    <w:name w:val="Intense Emphasis"/>
    <w:basedOn w:val="Fuentedeprrafopredeter"/>
    <w:uiPriority w:val="21"/>
    <w:qFormat/>
    <w:rsid w:val="00C3029D"/>
    <w:rPr>
      <w:i/>
      <w:iCs/>
      <w:color w:val="0F4761" w:themeColor="accent1" w:themeShade="BF"/>
    </w:rPr>
  </w:style>
  <w:style w:type="paragraph" w:styleId="Citadestacada">
    <w:name w:val="Intense Quote"/>
    <w:basedOn w:val="Normal"/>
    <w:next w:val="Normal"/>
    <w:link w:val="CitadestacadaCar"/>
    <w:uiPriority w:val="30"/>
    <w:qFormat/>
    <w:rsid w:val="00C302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029D"/>
    <w:rPr>
      <w:i/>
      <w:iCs/>
      <w:color w:val="0F4761" w:themeColor="accent1" w:themeShade="BF"/>
    </w:rPr>
  </w:style>
  <w:style w:type="character" w:styleId="Referenciaintensa">
    <w:name w:val="Intense Reference"/>
    <w:basedOn w:val="Fuentedeprrafopredeter"/>
    <w:uiPriority w:val="32"/>
    <w:qFormat/>
    <w:rsid w:val="00C3029D"/>
    <w:rPr>
      <w:b/>
      <w:bCs/>
      <w:smallCaps/>
      <w:color w:val="0F4761" w:themeColor="accent1" w:themeShade="BF"/>
      <w:spacing w:val="5"/>
    </w:rPr>
  </w:style>
  <w:style w:type="paragraph" w:styleId="Encabezado">
    <w:name w:val="header"/>
    <w:basedOn w:val="Normal"/>
    <w:link w:val="EncabezadoCar"/>
    <w:uiPriority w:val="99"/>
    <w:unhideWhenUsed/>
    <w:rsid w:val="00B827E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827E9"/>
  </w:style>
  <w:style w:type="paragraph" w:styleId="Piedepgina">
    <w:name w:val="footer"/>
    <w:basedOn w:val="Normal"/>
    <w:link w:val="PiedepginaCar"/>
    <w:uiPriority w:val="99"/>
    <w:unhideWhenUsed/>
    <w:rsid w:val="00B827E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827E9"/>
  </w:style>
  <w:style w:type="paragraph" w:styleId="NormalWeb">
    <w:name w:val="Normal (Web)"/>
    <w:basedOn w:val="Normal"/>
    <w:uiPriority w:val="99"/>
    <w:semiHidden/>
    <w:unhideWhenUsed/>
    <w:rsid w:val="00B827E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n">
    <w:name w:val="Revision"/>
    <w:hidden/>
    <w:uiPriority w:val="99"/>
    <w:semiHidden/>
    <w:rsid w:val="003155B9"/>
    <w:pPr>
      <w:spacing w:after="0" w:line="240" w:lineRule="auto"/>
    </w:pPr>
  </w:style>
  <w:style w:type="character" w:styleId="Refdecomentario">
    <w:name w:val="annotation reference"/>
    <w:basedOn w:val="Fuentedeprrafopredeter"/>
    <w:uiPriority w:val="99"/>
    <w:semiHidden/>
    <w:unhideWhenUsed/>
    <w:rsid w:val="0078171E"/>
    <w:rPr>
      <w:sz w:val="16"/>
      <w:szCs w:val="16"/>
    </w:rPr>
  </w:style>
  <w:style w:type="paragraph" w:styleId="Textocomentario">
    <w:name w:val="annotation text"/>
    <w:basedOn w:val="Normal"/>
    <w:link w:val="TextocomentarioCar"/>
    <w:uiPriority w:val="99"/>
    <w:unhideWhenUsed/>
    <w:rsid w:val="0078171E"/>
    <w:pPr>
      <w:spacing w:line="240" w:lineRule="auto"/>
    </w:pPr>
    <w:rPr>
      <w:sz w:val="20"/>
      <w:szCs w:val="20"/>
    </w:rPr>
  </w:style>
  <w:style w:type="character" w:customStyle="1" w:styleId="TextocomentarioCar">
    <w:name w:val="Texto comentario Car"/>
    <w:basedOn w:val="Fuentedeprrafopredeter"/>
    <w:link w:val="Textocomentario"/>
    <w:uiPriority w:val="99"/>
    <w:rsid w:val="0078171E"/>
    <w:rPr>
      <w:sz w:val="20"/>
      <w:szCs w:val="20"/>
    </w:rPr>
  </w:style>
  <w:style w:type="paragraph" w:styleId="Asuntodelcomentario">
    <w:name w:val="annotation subject"/>
    <w:basedOn w:val="Textocomentario"/>
    <w:next w:val="Textocomentario"/>
    <w:link w:val="AsuntodelcomentarioCar"/>
    <w:uiPriority w:val="99"/>
    <w:semiHidden/>
    <w:unhideWhenUsed/>
    <w:rsid w:val="0078171E"/>
    <w:rPr>
      <w:b/>
      <w:bCs/>
    </w:rPr>
  </w:style>
  <w:style w:type="character" w:customStyle="1" w:styleId="AsuntodelcomentarioCar">
    <w:name w:val="Asunto del comentario Car"/>
    <w:basedOn w:val="TextocomentarioCar"/>
    <w:link w:val="Asuntodelcomentario"/>
    <w:uiPriority w:val="99"/>
    <w:semiHidden/>
    <w:rsid w:val="0078171E"/>
    <w:rPr>
      <w:b/>
      <w:bCs/>
      <w:sz w:val="20"/>
      <w:szCs w:val="20"/>
    </w:rPr>
  </w:style>
  <w:style w:type="character" w:styleId="Hipervnculo">
    <w:name w:val="Hyperlink"/>
    <w:basedOn w:val="Fuentedeprrafopredeter"/>
    <w:uiPriority w:val="99"/>
    <w:unhideWhenUsed/>
    <w:rsid w:val="001517E5"/>
    <w:rPr>
      <w:color w:val="467886" w:themeColor="hyperlink"/>
      <w:u w:val="single"/>
    </w:rPr>
  </w:style>
  <w:style w:type="character" w:styleId="Mencinsinresolver">
    <w:name w:val="Unresolved Mention"/>
    <w:basedOn w:val="Fuentedeprrafopredeter"/>
    <w:uiPriority w:val="99"/>
    <w:semiHidden/>
    <w:unhideWhenUsed/>
    <w:rsid w:val="001517E5"/>
    <w:rPr>
      <w:color w:val="605E5C"/>
      <w:shd w:val="clear" w:color="auto" w:fill="E1DFDD"/>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bvaallianz.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ntractDate xmlns="9ff07a45-11f5-479e-a441-cd98a86709fe" xsi:nil="true"/>
    <DossierOwner xmlns="9ff07a45-11f5-479e-a441-cd98a86709fe">
      <UserInfo>
        <DisplayName/>
        <AccountId xsi:nil="true"/>
        <AccountType/>
      </UserInfo>
    </DossierOwner>
    <ContractExpirationDate xmlns="9ff07a45-11f5-479e-a441-cd98a86709fe" xsi:nil="true"/>
    <_dlc_DocId xmlns="9ff07a45-11f5-479e-a441-cd98a86709fe">XU7P7SY2DP3Q-491014520-212148</_dlc_DocId>
    <DossierStatus xmlns="9ff07a45-11f5-479e-a441-cd98a86709fe" xsi:nil="true"/>
    <ContractManagers xmlns="9ff07a45-11f5-479e-a441-cd98a86709fe">
      <UserInfo>
        <DisplayName/>
        <AccountId xsi:nil="true"/>
        <AccountType/>
      </UserInfo>
    </ContractManagers>
    <_dlc_DocIdPersistId xmlns="9ff07a45-11f5-479e-a441-cd98a86709fe" xsi:nil="true"/>
    <DocumentClass xmlns="9ff07a45-11f5-479e-a441-cd98a86709fe">Empieza por número</DocumentClass>
    <_dlc_DocIdUrl xmlns="9ff07a45-11f5-479e-a441-cd98a86709fe">
      <Url>https://allianzms.sharepoint.com/teams/ES0006-3163019/_layouts/15/DocIdRedir.aspx?ID=XU7P7SY2DP3Q-491014520-212148</Url>
      <Description>XU7P7SY2DP3Q-491014520-212148</Description>
    </_dlc_DocIdUrl>
    <MaterialContract xmlns="9ff07a45-11f5-479e-a441-cd98a86709fe" xsi:nil="true"/>
    <ContractType xmlns="9ff07a45-11f5-479e-a441-cd98a86709fe" xsi:nil="true"/>
    <TaxCatchAllLabel xmlns="9ff07a45-11f5-479e-a441-cd98a86709fe" xsi:nil="true"/>
    <ContractStatus xmlns="9ff07a45-11f5-479e-a441-cd98a86709fe">Sequía</ContractStatus>
    <ExternalContractingParties xmlns="9ff07a45-11f5-479e-a441-cd98a86709fe" xsi:nil="true"/>
    <TaxCatchAll xmlns="9ff07a45-11f5-479e-a441-cd98a86709fe" xsi:nil="true"/>
    <PlaceOfOriginal xmlns="9ff07a45-11f5-479e-a441-cd98a86709fe" xsi:nil="true"/>
    <OutsourcingAgreement xmlns="9ff07a45-11f5-479e-a441-cd98a86709fe" xsi:nil="true"/>
    <l6856d4619ce496882360609f9fc1dec xmlns="9ff07a45-11f5-479e-a441-cd98a86709fe">
      <Terms xmlns="http://schemas.microsoft.com/office/infopath/2007/PartnerControls"/>
    </l6856d4619ce496882360609f9fc1dec>
    <nd762d5e82fb490792aa88eaddbb89ea xmlns="9ff07a45-11f5-479e-a441-cd98a86709fe">
      <Terms xmlns="http://schemas.microsoft.com/office/infopath/2007/PartnerControls"/>
    </nd762d5e82fb490792aa88eaddbb89ea>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d3d7aa1ce60ca7f9d85bfb75e2edf0c7">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f6eed1c37449dbbe9271dd54985351d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8598A3-F1E8-4026-8E28-39CBC99F03AF}">
  <ds:schemaRefs>
    <ds:schemaRef ds:uri="http://schemas.microsoft.com/sharepoint/v3/contenttype/forms"/>
  </ds:schemaRefs>
</ds:datastoreItem>
</file>

<file path=customXml/itemProps2.xml><?xml version="1.0" encoding="utf-8"?>
<ds:datastoreItem xmlns:ds="http://schemas.openxmlformats.org/officeDocument/2006/customXml" ds:itemID="{2BB2B188-4A24-4B39-AD18-A882003A20F2}">
  <ds:schemaRefs>
    <ds:schemaRef ds:uri="http://schemas.microsoft.com/office/2006/metadata/properties"/>
    <ds:schemaRef ds:uri="http://schemas.microsoft.com/office/infopath/2007/PartnerControls"/>
    <ds:schemaRef ds:uri="9ff07a45-11f5-479e-a441-cd98a86709fe"/>
  </ds:schemaRefs>
</ds:datastoreItem>
</file>

<file path=customXml/itemProps3.xml><?xml version="1.0" encoding="utf-8"?>
<ds:datastoreItem xmlns:ds="http://schemas.openxmlformats.org/officeDocument/2006/customXml" ds:itemID="{D2830783-EE79-4201-9480-3665E51D2F29}">
  <ds:schemaRefs>
    <ds:schemaRef ds:uri="http://schemas.microsoft.com/sharepoint/events"/>
  </ds:schemaRefs>
</ds:datastoreItem>
</file>

<file path=customXml/itemProps4.xml><?xml version="1.0" encoding="utf-8"?>
<ds:datastoreItem xmlns:ds="http://schemas.openxmlformats.org/officeDocument/2006/customXml" ds:itemID="{BC5F17ED-8219-4D21-BFF4-FD4F6AD78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581</Words>
  <Characters>3314</Characters>
  <Application>Microsoft Office Word</Application>
  <DocSecurity>0</DocSecurity>
  <Lines>27</Lines>
  <Paragraphs>7</Paragraphs>
  <ScaleCrop>false</ScaleCrop>
  <Company>Allianz</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 (Allianz Compania de Seguros y Reaseguros S.A.)</dc:creator>
  <cp:keywords/>
  <dc:description/>
  <cp:lastModifiedBy>Rodriguez Mosquera, Sonia (Allianz Compania de Seguros y Reaseguros S.A.)</cp:lastModifiedBy>
  <cp:revision>4</cp:revision>
  <dcterms:created xsi:type="dcterms:W3CDTF">2026-08-31T09:20:00Z</dcterms:created>
  <dcterms:modified xsi:type="dcterms:W3CDTF">2026-08-31T09:26:00Z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5f591a-3248-43e9-9b70-1ad50135772d_Enabled">
    <vt:lpwstr>true</vt:lpwstr>
  </property>
  <property fmtid="{D5CDD505-2E9C-101B-9397-08002B2CF9AE}" pid="3" name="MSIP_Label_ce5f591a-3248-43e9-9b70-1ad50135772d_SetDate">
    <vt:lpwstr>2026-02-27T13:16:54Z</vt:lpwstr>
  </property>
  <property fmtid="{D5CDD505-2E9C-101B-9397-08002B2CF9AE}" pid="4" name="MSIP_Label_ce5f591a-3248-43e9-9b70-1ad50135772d_Method">
    <vt:lpwstr>Privileged</vt:lpwstr>
  </property>
  <property fmtid="{D5CDD505-2E9C-101B-9397-08002B2CF9AE}" pid="5" name="MSIP_Label_ce5f591a-3248-43e9-9b70-1ad50135772d_Name">
    <vt:lpwstr>ce5f591a-3248-43e9-9b70-1ad50135772d</vt:lpwstr>
  </property>
  <property fmtid="{D5CDD505-2E9C-101B-9397-08002B2CF9AE}" pid="6" name="MSIP_Label_ce5f591a-3248-43e9-9b70-1ad50135772d_SiteId">
    <vt:lpwstr>6e06e42d-6925-47c6-b9e7-9581c7ca302a</vt:lpwstr>
  </property>
  <property fmtid="{D5CDD505-2E9C-101B-9397-08002B2CF9AE}" pid="7" name="MSIP_Label_ce5f591a-3248-43e9-9b70-1ad50135772d_ActionId">
    <vt:lpwstr>4edc701b-b675-4d08-b350-908826471f3e</vt:lpwstr>
  </property>
  <property fmtid="{D5CDD505-2E9C-101B-9397-08002B2CF9AE}" pid="8" name="MSIP_Label_ce5f591a-3248-43e9-9b70-1ad50135772d_ContentBits">
    <vt:lpwstr>0</vt:lpwstr>
  </property>
  <property fmtid="{D5CDD505-2E9C-101B-9397-08002B2CF9AE}" pid="9" name="MSIP_Label_ce5f591a-3248-43e9-9b70-1ad50135772d_Tag">
    <vt:lpwstr>10, 0, 1, 1</vt:lpwstr>
  </property>
  <property fmtid="{D5CDD505-2E9C-101B-9397-08002B2CF9AE}" pid="10" name="ContentTypeId">
    <vt:lpwstr>0x010100CB304FBE35F569468B297629135C7396</vt:lpwstr>
  </property>
  <property fmtid="{D5CDD505-2E9C-101B-9397-08002B2CF9AE}" pid="11" name="DossierDepartment">
    <vt:lpwstr/>
  </property>
  <property fmtid="{D5CDD505-2E9C-101B-9397-08002B2CF9AE}" pid="12" name="AllianzContractingParties">
    <vt:lpwstr/>
  </property>
  <property fmtid="{D5CDD505-2E9C-101B-9397-08002B2CF9AE}" pid="13" name="MediaServiceImageTags">
    <vt:lpwstr/>
  </property>
  <property fmtid="{D5CDD505-2E9C-101B-9397-08002B2CF9AE}" pid="14" name="Contract_Type">
    <vt:lpwstr/>
  </property>
  <property fmtid="{D5CDD505-2E9C-101B-9397-08002B2CF9AE}" pid="15" name="b0fe84444e894ab98172082a3d0e58f8">
    <vt:lpwstr/>
  </property>
  <property fmtid="{D5CDD505-2E9C-101B-9397-08002B2CF9AE}" pid="16" name="Document_Class">
    <vt:lpwstr/>
  </property>
  <property fmtid="{D5CDD505-2E9C-101B-9397-08002B2CF9AE}" pid="17" name="iccd162ff52447b49ab8f5fd8f2cec1e">
    <vt:lpwstr/>
  </property>
  <property fmtid="{D5CDD505-2E9C-101B-9397-08002B2CF9AE}" pid="18" name="lcf76f155ced4ddcb4097134ff3c332f">
    <vt:lpwstr/>
  </property>
  <property fmtid="{D5CDD505-2E9C-101B-9397-08002B2CF9AE}" pid="19" name="docLang">
    <vt:lpwstr>es</vt:lpwstr>
  </property>
  <property fmtid="{D5CDD505-2E9C-101B-9397-08002B2CF9AE}" pid="20" name="_dlc_DocIdItemGuid">
    <vt:lpwstr>a1503fae-be71-4983-b83f-493b0bfcc7be</vt:lpwstr>
  </property>
</Properties>
</file>