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E48EF" w14:textId="54B703C8" w:rsidR="00AF2186" w:rsidRPr="00B45095" w:rsidRDefault="005C0338" w:rsidP="00B45095">
      <w:pPr>
        <w:ind w:right="944"/>
        <w:jc w:val="center"/>
        <w:rPr>
          <w:rFonts w:ascii="Arial" w:eastAsia="Arial" w:hAnsi="Arial" w:cs="Arial"/>
          <w:b/>
          <w:sz w:val="32"/>
          <w:szCs w:val="32"/>
        </w:rPr>
      </w:pPr>
      <w:r w:rsidRPr="00B45095">
        <w:rPr>
          <w:rFonts w:ascii="Arial" w:eastAsia="Arial" w:hAnsi="Arial" w:cs="Arial"/>
          <w:b/>
          <w:sz w:val="32"/>
          <w:szCs w:val="32"/>
        </w:rPr>
        <w:t xml:space="preserve">BBVA Allianz </w:t>
      </w:r>
      <w:r w:rsidR="00503A8D">
        <w:rPr>
          <w:rFonts w:ascii="Arial" w:eastAsia="Arial" w:hAnsi="Arial" w:cs="Arial"/>
          <w:b/>
          <w:sz w:val="32"/>
          <w:szCs w:val="32"/>
        </w:rPr>
        <w:t>crece un</w:t>
      </w:r>
      <w:r w:rsidRPr="00B45095">
        <w:rPr>
          <w:rFonts w:ascii="Arial" w:eastAsia="Arial" w:hAnsi="Arial" w:cs="Arial"/>
          <w:b/>
          <w:sz w:val="32"/>
          <w:szCs w:val="32"/>
        </w:rPr>
        <w:t xml:space="preserve"> 22%</w:t>
      </w:r>
      <w:r w:rsidR="00146697">
        <w:rPr>
          <w:rFonts w:ascii="Arial" w:eastAsia="Arial" w:hAnsi="Arial" w:cs="Arial"/>
          <w:b/>
          <w:sz w:val="32"/>
          <w:szCs w:val="32"/>
        </w:rPr>
        <w:t xml:space="preserve"> </w:t>
      </w:r>
      <w:r w:rsidR="00503A8D">
        <w:rPr>
          <w:rFonts w:ascii="Arial" w:eastAsia="Arial" w:hAnsi="Arial" w:cs="Arial"/>
          <w:b/>
          <w:sz w:val="32"/>
          <w:szCs w:val="32"/>
        </w:rPr>
        <w:t xml:space="preserve">en primas </w:t>
      </w:r>
      <w:r w:rsidR="00146697">
        <w:rPr>
          <w:rFonts w:ascii="Arial" w:eastAsia="Arial" w:hAnsi="Arial" w:cs="Arial"/>
          <w:b/>
          <w:sz w:val="32"/>
          <w:szCs w:val="32"/>
        </w:rPr>
        <w:t>y cierra 2023 con 443 millones</w:t>
      </w:r>
    </w:p>
    <w:p w14:paraId="0AEE48F0" w14:textId="77777777" w:rsidR="00AF2186" w:rsidRDefault="00AF2186">
      <w:pPr>
        <w:ind w:right="944"/>
        <w:rPr>
          <w:rFonts w:ascii="Arial" w:eastAsia="Arial" w:hAnsi="Arial" w:cs="Arial"/>
          <w:b/>
          <w:sz w:val="32"/>
          <w:szCs w:val="32"/>
        </w:rPr>
      </w:pPr>
    </w:p>
    <w:p w14:paraId="0AEE48F1" w14:textId="6307E818" w:rsidR="00AF2186" w:rsidRDefault="005C0338">
      <w:pPr>
        <w:numPr>
          <w:ilvl w:val="0"/>
          <w:numId w:val="1"/>
        </w:numPr>
        <w:pBdr>
          <w:top w:val="nil"/>
          <w:left w:val="nil"/>
          <w:bottom w:val="nil"/>
          <w:right w:val="nil"/>
          <w:between w:val="nil"/>
        </w:pBdr>
        <w:spacing w:line="360" w:lineRule="auto"/>
        <w:ind w:right="941"/>
        <w:rPr>
          <w:rFonts w:ascii="Arial" w:eastAsia="Arial" w:hAnsi="Arial" w:cs="Arial"/>
          <w:b/>
          <w:color w:val="000000"/>
        </w:rPr>
      </w:pPr>
      <w:r>
        <w:rPr>
          <w:rFonts w:ascii="Arial" w:eastAsia="Arial" w:hAnsi="Arial" w:cs="Arial"/>
          <w:b/>
          <w:color w:val="000000"/>
        </w:rPr>
        <w:t>BBVA Allianz registró, en 2023, un crecimiento superior al</w:t>
      </w:r>
      <w:r>
        <w:rPr>
          <w:rFonts w:ascii="Arial" w:eastAsia="Arial" w:hAnsi="Arial" w:cs="Arial"/>
          <w:b/>
          <w:color w:val="000000"/>
          <w:highlight w:val="yellow"/>
        </w:rPr>
        <w:t xml:space="preserve"> </w:t>
      </w:r>
      <w:r w:rsidRPr="00B45095">
        <w:rPr>
          <w:rFonts w:ascii="Arial" w:eastAsia="Arial" w:hAnsi="Arial" w:cs="Arial"/>
          <w:b/>
          <w:color w:val="000000"/>
        </w:rPr>
        <w:t>5</w:t>
      </w:r>
      <w:r w:rsidRPr="00B45095">
        <w:rPr>
          <w:rFonts w:ascii="Arial" w:eastAsia="Arial" w:hAnsi="Arial" w:cs="Arial"/>
          <w:b/>
        </w:rPr>
        <w:t>2</w:t>
      </w:r>
      <w:r w:rsidRPr="00B45095">
        <w:rPr>
          <w:rFonts w:ascii="Arial" w:eastAsia="Arial" w:hAnsi="Arial" w:cs="Arial"/>
          <w:b/>
          <w:color w:val="000000"/>
        </w:rPr>
        <w:t xml:space="preserve">% en sus primas de empresas y al 9% en hogar </w:t>
      </w:r>
      <w:r w:rsidRPr="00B45095">
        <w:rPr>
          <w:rFonts w:ascii="Arial" w:eastAsia="Arial" w:hAnsi="Arial" w:cs="Arial"/>
          <w:b/>
        </w:rPr>
        <w:t>y triplica</w:t>
      </w:r>
      <w:r w:rsidR="0058007F">
        <w:rPr>
          <w:rFonts w:ascii="Arial" w:eastAsia="Arial" w:hAnsi="Arial" w:cs="Arial"/>
          <w:b/>
        </w:rPr>
        <w:t>,</w:t>
      </w:r>
      <w:r w:rsidRPr="00B45095">
        <w:rPr>
          <w:rFonts w:ascii="Arial" w:eastAsia="Arial" w:hAnsi="Arial" w:cs="Arial"/>
          <w:b/>
        </w:rPr>
        <w:t xml:space="preserve"> en su conjunto</w:t>
      </w:r>
      <w:r w:rsidR="0058007F">
        <w:rPr>
          <w:rFonts w:ascii="Arial" w:eastAsia="Arial" w:hAnsi="Arial" w:cs="Arial"/>
          <w:b/>
        </w:rPr>
        <w:t>,</w:t>
      </w:r>
      <w:r w:rsidRPr="00B45095">
        <w:rPr>
          <w:rFonts w:ascii="Arial" w:eastAsia="Arial" w:hAnsi="Arial" w:cs="Arial"/>
          <w:b/>
        </w:rPr>
        <w:t xml:space="preserve"> al crecimiento del sector</w:t>
      </w:r>
    </w:p>
    <w:p w14:paraId="0AEE48F2" w14:textId="1BF483B9" w:rsidR="00AF2186" w:rsidRPr="00B45095" w:rsidRDefault="005C0338">
      <w:pPr>
        <w:numPr>
          <w:ilvl w:val="0"/>
          <w:numId w:val="1"/>
        </w:numPr>
        <w:pBdr>
          <w:top w:val="nil"/>
          <w:left w:val="nil"/>
          <w:bottom w:val="nil"/>
          <w:right w:val="nil"/>
          <w:between w:val="nil"/>
        </w:pBdr>
        <w:spacing w:line="360" w:lineRule="auto"/>
        <w:ind w:right="941"/>
        <w:rPr>
          <w:rFonts w:ascii="Arial" w:eastAsia="Arial" w:hAnsi="Arial" w:cs="Arial"/>
          <w:b/>
          <w:color w:val="000000"/>
        </w:rPr>
      </w:pPr>
      <w:r>
        <w:rPr>
          <w:rFonts w:ascii="Arial" w:eastAsia="Arial" w:hAnsi="Arial" w:cs="Arial"/>
          <w:b/>
        </w:rPr>
        <w:t>Crecimiento rentable, con un result</w:t>
      </w:r>
      <w:r>
        <w:rPr>
          <w:rFonts w:ascii="Arial" w:eastAsia="Arial" w:hAnsi="Arial" w:cs="Arial"/>
          <w:b/>
          <w:color w:val="000000"/>
        </w:rPr>
        <w:t xml:space="preserve">ado operativo </w:t>
      </w:r>
      <w:r>
        <w:rPr>
          <w:rFonts w:ascii="Arial" w:eastAsia="Arial" w:hAnsi="Arial" w:cs="Arial"/>
          <w:b/>
        </w:rPr>
        <w:t xml:space="preserve">que </w:t>
      </w:r>
      <w:r>
        <w:rPr>
          <w:rFonts w:ascii="Arial" w:eastAsia="Arial" w:hAnsi="Arial" w:cs="Arial"/>
          <w:b/>
          <w:color w:val="000000"/>
        </w:rPr>
        <w:t>se situó en 2023 en 55,7 millones de euros</w:t>
      </w:r>
      <w:r w:rsidRPr="00B45095">
        <w:rPr>
          <w:rFonts w:ascii="Arial" w:eastAsia="Arial" w:hAnsi="Arial" w:cs="Arial"/>
          <w:b/>
        </w:rPr>
        <w:t>, un 23% más que en 2022</w:t>
      </w:r>
    </w:p>
    <w:p w14:paraId="0AEE48F3" w14:textId="0ADF29E1" w:rsidR="00AF2186" w:rsidRDefault="005C0338">
      <w:pPr>
        <w:numPr>
          <w:ilvl w:val="0"/>
          <w:numId w:val="1"/>
        </w:numPr>
        <w:pBdr>
          <w:top w:val="nil"/>
          <w:left w:val="nil"/>
          <w:bottom w:val="nil"/>
          <w:right w:val="nil"/>
          <w:between w:val="nil"/>
        </w:pBdr>
        <w:spacing w:line="360" w:lineRule="auto"/>
        <w:ind w:right="941"/>
        <w:rPr>
          <w:rFonts w:ascii="Arial" w:eastAsia="Arial" w:hAnsi="Arial" w:cs="Arial"/>
          <w:b/>
          <w:color w:val="000000"/>
        </w:rPr>
      </w:pPr>
      <w:r>
        <w:rPr>
          <w:rFonts w:ascii="Arial" w:eastAsia="Arial" w:hAnsi="Arial" w:cs="Arial"/>
          <w:b/>
          <w:color w:val="000000"/>
        </w:rPr>
        <w:t xml:space="preserve">Con </w:t>
      </w:r>
      <w:r w:rsidR="00AB64D6">
        <w:rPr>
          <w:rFonts w:ascii="Arial" w:eastAsia="Arial" w:hAnsi="Arial" w:cs="Arial"/>
          <w:b/>
          <w:color w:val="000000"/>
        </w:rPr>
        <w:t>cerca de 1,1M</w:t>
      </w:r>
      <w:r>
        <w:rPr>
          <w:rFonts w:ascii="Arial" w:eastAsia="Arial" w:hAnsi="Arial" w:cs="Arial"/>
          <w:b/>
          <w:color w:val="000000"/>
        </w:rPr>
        <w:t xml:space="preserve"> de hogares asegurados, la </w:t>
      </w:r>
      <w:proofErr w:type="spellStart"/>
      <w:proofErr w:type="gramStart"/>
      <w:r>
        <w:rPr>
          <w:rFonts w:ascii="Arial" w:eastAsia="Arial" w:hAnsi="Arial" w:cs="Arial"/>
          <w:b/>
          <w:color w:val="000000"/>
        </w:rPr>
        <w:t>joint</w:t>
      </w:r>
      <w:proofErr w:type="spellEnd"/>
      <w:r>
        <w:rPr>
          <w:rFonts w:ascii="Arial" w:eastAsia="Arial" w:hAnsi="Arial" w:cs="Arial"/>
          <w:b/>
          <w:color w:val="000000"/>
        </w:rPr>
        <w:t xml:space="preserve"> venture</w:t>
      </w:r>
      <w:proofErr w:type="gramEnd"/>
      <w:r>
        <w:rPr>
          <w:rFonts w:ascii="Arial" w:eastAsia="Arial" w:hAnsi="Arial" w:cs="Arial"/>
          <w:b/>
          <w:color w:val="000000"/>
        </w:rPr>
        <w:t xml:space="preserve"> de Allianz y BBVA se sitúa como la segunda entidad de banca seguros de España en este segmento</w:t>
      </w:r>
    </w:p>
    <w:p w14:paraId="0AEE48F4" w14:textId="77777777" w:rsidR="00AF2186" w:rsidRDefault="00AF2186">
      <w:pPr>
        <w:pBdr>
          <w:top w:val="nil"/>
          <w:left w:val="nil"/>
          <w:bottom w:val="nil"/>
          <w:right w:val="nil"/>
          <w:between w:val="nil"/>
        </w:pBdr>
        <w:spacing w:line="360" w:lineRule="auto"/>
        <w:ind w:left="900" w:right="941"/>
        <w:rPr>
          <w:rFonts w:ascii="Arial" w:eastAsia="Arial" w:hAnsi="Arial" w:cs="Arial"/>
          <w:b/>
          <w:color w:val="000000"/>
        </w:rPr>
      </w:pPr>
    </w:p>
    <w:p w14:paraId="0AEE48F5" w14:textId="4A1592FB" w:rsidR="00AF2186" w:rsidRDefault="005C0338">
      <w:pPr>
        <w:spacing w:line="276" w:lineRule="auto"/>
        <w:jc w:val="both"/>
        <w:rPr>
          <w:rFonts w:ascii="Arial" w:eastAsia="Arial" w:hAnsi="Arial" w:cs="Arial"/>
          <w:sz w:val="22"/>
          <w:szCs w:val="22"/>
        </w:rPr>
      </w:pPr>
      <w:r>
        <w:rPr>
          <w:rFonts w:ascii="Arial" w:eastAsia="Arial" w:hAnsi="Arial" w:cs="Arial"/>
          <w:b/>
          <w:sz w:val="22"/>
          <w:szCs w:val="22"/>
        </w:rPr>
        <w:t xml:space="preserve">Madrid, </w:t>
      </w:r>
      <w:r w:rsidR="00673713">
        <w:rPr>
          <w:rFonts w:ascii="Arial" w:eastAsia="Arial" w:hAnsi="Arial" w:cs="Arial"/>
          <w:b/>
          <w:sz w:val="22"/>
          <w:szCs w:val="22"/>
        </w:rPr>
        <w:t>9</w:t>
      </w:r>
      <w:r>
        <w:rPr>
          <w:rFonts w:ascii="Arial" w:eastAsia="Arial" w:hAnsi="Arial" w:cs="Arial"/>
          <w:b/>
          <w:sz w:val="22"/>
          <w:szCs w:val="22"/>
        </w:rPr>
        <w:t xml:space="preserve"> de mayo de 2024</w:t>
      </w:r>
      <w:r>
        <w:rPr>
          <w:rFonts w:ascii="Arial" w:eastAsia="Arial" w:hAnsi="Arial" w:cs="Arial"/>
          <w:sz w:val="22"/>
          <w:szCs w:val="22"/>
        </w:rPr>
        <w:t xml:space="preserve">.- BBVA Allianz Seguros registró un </w:t>
      </w:r>
      <w:r w:rsidRPr="000F75CC">
        <w:rPr>
          <w:rFonts w:ascii="Arial" w:eastAsia="Arial" w:hAnsi="Arial" w:cs="Arial"/>
          <w:b/>
          <w:bCs/>
          <w:sz w:val="22"/>
          <w:szCs w:val="22"/>
        </w:rPr>
        <w:t>crecimiento superior al 22% en primas emitidas</w:t>
      </w:r>
      <w:r>
        <w:rPr>
          <w:rFonts w:ascii="Arial" w:eastAsia="Arial" w:hAnsi="Arial" w:cs="Arial"/>
          <w:sz w:val="22"/>
          <w:szCs w:val="22"/>
        </w:rPr>
        <w:t xml:space="preserve"> a cierre de su tercer año de actividad, batiendo un año más al mercado, hasta alcanzar los </w:t>
      </w:r>
      <w:r>
        <w:rPr>
          <w:rFonts w:ascii="Arial" w:eastAsia="Arial" w:hAnsi="Arial" w:cs="Arial"/>
          <w:b/>
          <w:sz w:val="22"/>
          <w:szCs w:val="22"/>
        </w:rPr>
        <w:t>443 millones, a cierre de 2023</w:t>
      </w:r>
      <w:r>
        <w:rPr>
          <w:rFonts w:ascii="Arial" w:eastAsia="Arial" w:hAnsi="Arial" w:cs="Arial"/>
          <w:sz w:val="22"/>
          <w:szCs w:val="22"/>
        </w:rPr>
        <w:t xml:space="preserve">. </w:t>
      </w:r>
    </w:p>
    <w:p w14:paraId="0AEE48F6" w14:textId="77777777" w:rsidR="00AF2186" w:rsidRDefault="00AF2186">
      <w:pPr>
        <w:spacing w:line="276" w:lineRule="auto"/>
        <w:jc w:val="both"/>
        <w:rPr>
          <w:rFonts w:ascii="Arial" w:eastAsia="Arial" w:hAnsi="Arial" w:cs="Arial"/>
          <w:sz w:val="22"/>
          <w:szCs w:val="22"/>
        </w:rPr>
      </w:pPr>
    </w:p>
    <w:p w14:paraId="0AEE48F7" w14:textId="199C445E" w:rsidR="00AF2186" w:rsidRDefault="005C0338">
      <w:pPr>
        <w:spacing w:line="276" w:lineRule="auto"/>
        <w:jc w:val="both"/>
        <w:rPr>
          <w:rFonts w:ascii="Arial" w:eastAsia="Arial" w:hAnsi="Arial" w:cs="Arial"/>
          <w:sz w:val="22"/>
          <w:szCs w:val="22"/>
        </w:rPr>
      </w:pPr>
      <w:r w:rsidRPr="7593D2E1">
        <w:rPr>
          <w:rFonts w:ascii="Arial" w:eastAsia="Arial" w:hAnsi="Arial" w:cs="Arial"/>
          <w:sz w:val="22"/>
          <w:szCs w:val="22"/>
        </w:rPr>
        <w:t>La ‘</w:t>
      </w:r>
      <w:proofErr w:type="spellStart"/>
      <w:proofErr w:type="gramStart"/>
      <w:r w:rsidRPr="7593D2E1">
        <w:rPr>
          <w:rFonts w:ascii="Arial" w:eastAsia="Arial" w:hAnsi="Arial" w:cs="Arial"/>
          <w:sz w:val="22"/>
          <w:szCs w:val="22"/>
        </w:rPr>
        <w:t>joint</w:t>
      </w:r>
      <w:proofErr w:type="spellEnd"/>
      <w:r w:rsidRPr="7593D2E1">
        <w:rPr>
          <w:rFonts w:ascii="Arial" w:eastAsia="Arial" w:hAnsi="Arial" w:cs="Arial"/>
          <w:sz w:val="22"/>
          <w:szCs w:val="22"/>
        </w:rPr>
        <w:t xml:space="preserve"> venture</w:t>
      </w:r>
      <w:proofErr w:type="gramEnd"/>
      <w:r w:rsidRPr="7593D2E1">
        <w:rPr>
          <w:rFonts w:ascii="Arial" w:eastAsia="Arial" w:hAnsi="Arial" w:cs="Arial"/>
          <w:sz w:val="22"/>
          <w:szCs w:val="22"/>
        </w:rPr>
        <w:t xml:space="preserve">’ de </w:t>
      </w:r>
      <w:proofErr w:type="spellStart"/>
      <w:r w:rsidRPr="7593D2E1">
        <w:rPr>
          <w:rFonts w:ascii="Arial" w:eastAsia="Arial" w:hAnsi="Arial" w:cs="Arial"/>
          <w:sz w:val="22"/>
          <w:szCs w:val="22"/>
        </w:rPr>
        <w:t>bancaseguros</w:t>
      </w:r>
      <w:proofErr w:type="spellEnd"/>
      <w:r w:rsidRPr="7593D2E1">
        <w:rPr>
          <w:rFonts w:ascii="Arial" w:eastAsia="Arial" w:hAnsi="Arial" w:cs="Arial"/>
          <w:sz w:val="22"/>
          <w:szCs w:val="22"/>
        </w:rPr>
        <w:t xml:space="preserve"> de Allianz y BBVA se sitúa como la segunda entidad de </w:t>
      </w:r>
      <w:proofErr w:type="spellStart"/>
      <w:r w:rsidRPr="7593D2E1">
        <w:rPr>
          <w:rFonts w:ascii="Arial" w:eastAsia="Arial" w:hAnsi="Arial" w:cs="Arial"/>
          <w:sz w:val="22"/>
          <w:szCs w:val="22"/>
        </w:rPr>
        <w:t>bancaseguros</w:t>
      </w:r>
      <w:proofErr w:type="spellEnd"/>
      <w:r w:rsidRPr="7593D2E1">
        <w:rPr>
          <w:rFonts w:ascii="Arial" w:eastAsia="Arial" w:hAnsi="Arial" w:cs="Arial"/>
          <w:sz w:val="22"/>
          <w:szCs w:val="22"/>
        </w:rPr>
        <w:t xml:space="preserve"> en hogar en España, con </w:t>
      </w:r>
      <w:r w:rsidR="00AB64D6" w:rsidRPr="7593D2E1">
        <w:rPr>
          <w:rFonts w:ascii="Arial" w:eastAsia="Arial" w:hAnsi="Arial" w:cs="Arial"/>
          <w:sz w:val="22"/>
          <w:szCs w:val="22"/>
        </w:rPr>
        <w:t>alrededor de 1,1 millones</w:t>
      </w:r>
      <w:r w:rsidRPr="7593D2E1">
        <w:rPr>
          <w:rFonts w:ascii="Arial" w:eastAsia="Arial" w:hAnsi="Arial" w:cs="Arial"/>
          <w:sz w:val="22"/>
          <w:szCs w:val="22"/>
        </w:rPr>
        <w:t xml:space="preserve"> de hogares asegurados y 305,2 millones de euros en primas de esta gama de seguros. </w:t>
      </w:r>
    </w:p>
    <w:p w14:paraId="0AEE48F8" w14:textId="77777777" w:rsidR="00AF2186" w:rsidRDefault="00AF2186">
      <w:pPr>
        <w:spacing w:line="276" w:lineRule="auto"/>
        <w:jc w:val="both"/>
        <w:rPr>
          <w:rFonts w:ascii="Arial" w:eastAsia="Arial" w:hAnsi="Arial" w:cs="Arial"/>
          <w:sz w:val="22"/>
          <w:szCs w:val="22"/>
        </w:rPr>
      </w:pPr>
    </w:p>
    <w:p w14:paraId="0AEE48F9" w14:textId="77777777" w:rsidR="00AF2186" w:rsidRDefault="005C0338">
      <w:pPr>
        <w:spacing w:line="276" w:lineRule="auto"/>
        <w:jc w:val="both"/>
        <w:rPr>
          <w:rFonts w:ascii="Arial" w:eastAsia="Arial" w:hAnsi="Arial" w:cs="Arial"/>
          <w:sz w:val="22"/>
          <w:szCs w:val="22"/>
        </w:rPr>
      </w:pPr>
      <w:r>
        <w:rPr>
          <w:rFonts w:ascii="Arial" w:eastAsia="Arial" w:hAnsi="Arial" w:cs="Arial"/>
          <w:sz w:val="22"/>
          <w:szCs w:val="22"/>
        </w:rPr>
        <w:t xml:space="preserve">En 2023, todas las líneas de negocio de la compañía han mantenido su crecimiento, lo que ha permitido a la entidad volver a alcanzar todos los objetivos que se había marcado para el ejercicio. Cabe destacar, entre otros, el incremento superior al </w:t>
      </w:r>
      <w:r w:rsidRPr="00B45095">
        <w:rPr>
          <w:rFonts w:ascii="Arial" w:eastAsia="Arial" w:hAnsi="Arial" w:cs="Arial"/>
          <w:sz w:val="22"/>
          <w:szCs w:val="22"/>
        </w:rPr>
        <w:t>52%</w:t>
      </w:r>
      <w:r>
        <w:rPr>
          <w:rFonts w:ascii="Arial" w:eastAsia="Arial" w:hAnsi="Arial" w:cs="Arial"/>
          <w:sz w:val="22"/>
          <w:szCs w:val="22"/>
        </w:rPr>
        <w:t xml:space="preserve"> de las primas emitidas en seguros de negocios y pymes, así como el ramo de seguros de hogar, con un crecimiento de más del 9%, con respecto al mismo período del año anterior. </w:t>
      </w:r>
    </w:p>
    <w:p w14:paraId="0AEE48FA" w14:textId="77777777" w:rsidR="00AF2186" w:rsidRDefault="00AF2186">
      <w:pPr>
        <w:spacing w:line="276" w:lineRule="auto"/>
        <w:jc w:val="both"/>
        <w:rPr>
          <w:rFonts w:ascii="Arial" w:eastAsia="Arial" w:hAnsi="Arial" w:cs="Arial"/>
          <w:sz w:val="22"/>
          <w:szCs w:val="22"/>
          <w:highlight w:val="yellow"/>
        </w:rPr>
      </w:pPr>
    </w:p>
    <w:p w14:paraId="0AEE48FB" w14:textId="0D24A57D" w:rsidR="00AF2186" w:rsidRPr="00B45095" w:rsidRDefault="005C0338">
      <w:pPr>
        <w:spacing w:line="276" w:lineRule="auto"/>
        <w:jc w:val="both"/>
        <w:rPr>
          <w:rFonts w:ascii="Arial" w:eastAsia="Arial" w:hAnsi="Arial" w:cs="Arial"/>
          <w:sz w:val="22"/>
          <w:szCs w:val="22"/>
        </w:rPr>
      </w:pPr>
      <w:r w:rsidRPr="2A68D46D">
        <w:rPr>
          <w:rFonts w:ascii="Arial" w:eastAsia="Arial" w:hAnsi="Arial" w:cs="Arial"/>
          <w:sz w:val="22"/>
          <w:szCs w:val="22"/>
        </w:rPr>
        <w:t>El resultado operativo de BBVA Allianz Seguros se situó en 2023 en 55,7 millones de euros</w:t>
      </w:r>
      <w:r w:rsidR="65F041E5" w:rsidRPr="2A68D46D">
        <w:rPr>
          <w:rFonts w:ascii="Arial" w:eastAsia="Arial" w:hAnsi="Arial" w:cs="Arial"/>
          <w:sz w:val="22"/>
          <w:szCs w:val="22"/>
        </w:rPr>
        <w:t>*</w:t>
      </w:r>
      <w:r w:rsidRPr="2A68D46D">
        <w:rPr>
          <w:rFonts w:ascii="Arial" w:eastAsia="Arial" w:hAnsi="Arial" w:cs="Arial"/>
          <w:sz w:val="22"/>
          <w:szCs w:val="22"/>
        </w:rPr>
        <w:t>, un 23,2% más que en 2022, con un ratio combinado de 87,</w:t>
      </w:r>
      <w:proofErr w:type="gramStart"/>
      <w:r w:rsidRPr="2A68D46D">
        <w:rPr>
          <w:rFonts w:ascii="Arial" w:eastAsia="Arial" w:hAnsi="Arial" w:cs="Arial"/>
          <w:sz w:val="22"/>
          <w:szCs w:val="22"/>
        </w:rPr>
        <w:t>0.</w:t>
      </w:r>
      <w:r w:rsidR="17DF6708" w:rsidRPr="2A68D46D">
        <w:rPr>
          <w:rFonts w:ascii="Arial" w:eastAsia="Arial" w:hAnsi="Arial" w:cs="Arial"/>
          <w:sz w:val="22"/>
          <w:szCs w:val="22"/>
        </w:rPr>
        <w:t>*</w:t>
      </w:r>
      <w:proofErr w:type="gramEnd"/>
      <w:r w:rsidR="17DF6708" w:rsidRPr="2A68D46D">
        <w:rPr>
          <w:rFonts w:ascii="Arial" w:eastAsia="Arial" w:hAnsi="Arial" w:cs="Arial"/>
          <w:sz w:val="22"/>
          <w:szCs w:val="22"/>
        </w:rPr>
        <w:t>*</w:t>
      </w:r>
    </w:p>
    <w:p w14:paraId="0AEE48FC" w14:textId="77777777" w:rsidR="00AF2186" w:rsidRDefault="00AF2186">
      <w:pPr>
        <w:spacing w:line="276" w:lineRule="auto"/>
        <w:jc w:val="both"/>
        <w:rPr>
          <w:rFonts w:ascii="Arial" w:eastAsia="Arial" w:hAnsi="Arial" w:cs="Arial"/>
          <w:sz w:val="22"/>
          <w:szCs w:val="22"/>
          <w:highlight w:val="yellow"/>
        </w:rPr>
      </w:pPr>
    </w:p>
    <w:p w14:paraId="0AEE48FD" w14:textId="066E8BD4" w:rsidR="00AF2186" w:rsidRDefault="005C0338">
      <w:pPr>
        <w:spacing w:line="276" w:lineRule="auto"/>
        <w:jc w:val="both"/>
        <w:rPr>
          <w:rFonts w:ascii="Arial" w:eastAsia="Arial" w:hAnsi="Arial" w:cs="Arial"/>
          <w:sz w:val="22"/>
          <w:szCs w:val="22"/>
        </w:rPr>
      </w:pPr>
      <w:r w:rsidRPr="2A68D46D">
        <w:rPr>
          <w:rFonts w:ascii="Arial" w:eastAsia="Arial" w:hAnsi="Arial" w:cs="Arial"/>
          <w:sz w:val="22"/>
          <w:szCs w:val="22"/>
        </w:rPr>
        <w:t xml:space="preserve">En sus tres primeros años de actividad, la compañía ha culminado su objetivo de </w:t>
      </w:r>
      <w:r w:rsidR="7BF7D87D" w:rsidRPr="2A68D46D">
        <w:rPr>
          <w:rFonts w:ascii="Arial" w:eastAsia="Arial" w:hAnsi="Arial" w:cs="Arial"/>
          <w:sz w:val="22"/>
          <w:szCs w:val="22"/>
        </w:rPr>
        <w:t>comercializar</w:t>
      </w:r>
      <w:r w:rsidRPr="2A68D46D">
        <w:rPr>
          <w:rFonts w:ascii="Arial" w:eastAsia="Arial" w:hAnsi="Arial" w:cs="Arial"/>
          <w:sz w:val="22"/>
          <w:szCs w:val="22"/>
        </w:rPr>
        <w:t xml:space="preserve"> </w:t>
      </w:r>
      <w:r w:rsidR="1F3A5DBC" w:rsidRPr="2A68D46D">
        <w:rPr>
          <w:rFonts w:ascii="Arial" w:eastAsia="Arial" w:hAnsi="Arial" w:cs="Arial"/>
          <w:b/>
          <w:bCs/>
          <w:sz w:val="22"/>
          <w:szCs w:val="22"/>
        </w:rPr>
        <w:t>18</w:t>
      </w:r>
      <w:r w:rsidRPr="2A68D46D">
        <w:rPr>
          <w:rFonts w:ascii="Arial" w:eastAsia="Arial" w:hAnsi="Arial" w:cs="Arial"/>
          <w:b/>
          <w:bCs/>
          <w:sz w:val="22"/>
          <w:szCs w:val="22"/>
        </w:rPr>
        <w:t xml:space="preserve"> productos de la gama de seguros de No Vida </w:t>
      </w:r>
      <w:r w:rsidRPr="2A68D46D">
        <w:rPr>
          <w:rFonts w:ascii="Arial" w:eastAsia="Arial" w:hAnsi="Arial" w:cs="Arial"/>
          <w:sz w:val="22"/>
          <w:szCs w:val="22"/>
        </w:rPr>
        <w:t xml:space="preserve">disponibles en todas las oficinas y los diferentes canales digitales de BBVA y una completa, diversa e innovadora propuesta de soluciones aseguradoras, tanto para clientes particulares </w:t>
      </w:r>
      <w:r w:rsidRPr="2A68D46D">
        <w:rPr>
          <w:rFonts w:ascii="Arial" w:eastAsia="Arial" w:hAnsi="Arial" w:cs="Arial"/>
          <w:sz w:val="22"/>
          <w:szCs w:val="22"/>
        </w:rPr>
        <w:lastRenderedPageBreak/>
        <w:t xml:space="preserve">como empresariales. De este modo, afronta ahora una nueva etapa centrada en </w:t>
      </w:r>
      <w:r w:rsidRPr="2A68D46D">
        <w:rPr>
          <w:rFonts w:ascii="Arial" w:eastAsia="Arial" w:hAnsi="Arial" w:cs="Arial"/>
          <w:b/>
          <w:bCs/>
          <w:sz w:val="22"/>
          <w:szCs w:val="22"/>
        </w:rPr>
        <w:t>la innovación y la digitalización,</w:t>
      </w:r>
      <w:r w:rsidRPr="2A68D46D">
        <w:rPr>
          <w:rFonts w:ascii="Arial" w:eastAsia="Arial" w:hAnsi="Arial" w:cs="Arial"/>
          <w:sz w:val="22"/>
          <w:szCs w:val="22"/>
        </w:rPr>
        <w:t xml:space="preserve"> </w:t>
      </w:r>
      <w:r w:rsidR="2D9BD3A2" w:rsidRPr="2A68D46D">
        <w:rPr>
          <w:rFonts w:ascii="Arial" w:eastAsia="Arial" w:hAnsi="Arial" w:cs="Arial"/>
          <w:sz w:val="22"/>
          <w:szCs w:val="22"/>
        </w:rPr>
        <w:t>que contribuirán a un continuo crecimiento del negocio</w:t>
      </w:r>
      <w:r w:rsidRPr="2A68D46D">
        <w:rPr>
          <w:rFonts w:ascii="Arial" w:eastAsia="Arial" w:hAnsi="Arial" w:cs="Arial"/>
          <w:sz w:val="22"/>
          <w:szCs w:val="22"/>
        </w:rPr>
        <w:t xml:space="preserve">. </w:t>
      </w:r>
    </w:p>
    <w:p w14:paraId="0AEE48FE" w14:textId="77777777" w:rsidR="00AF2186" w:rsidRDefault="00AF2186">
      <w:pPr>
        <w:spacing w:line="276" w:lineRule="auto"/>
        <w:jc w:val="both"/>
        <w:rPr>
          <w:rFonts w:ascii="Arial" w:eastAsia="Arial" w:hAnsi="Arial" w:cs="Arial"/>
          <w:sz w:val="22"/>
          <w:szCs w:val="22"/>
        </w:rPr>
      </w:pPr>
    </w:p>
    <w:p w14:paraId="0AEE48FF" w14:textId="77777777" w:rsidR="00AF2186" w:rsidRPr="00B45095" w:rsidRDefault="005C0338">
      <w:pPr>
        <w:spacing w:line="276" w:lineRule="auto"/>
        <w:jc w:val="both"/>
        <w:rPr>
          <w:rFonts w:ascii="Arial" w:eastAsia="Arial" w:hAnsi="Arial" w:cs="Arial"/>
          <w:i/>
          <w:sz w:val="22"/>
          <w:szCs w:val="22"/>
        </w:rPr>
      </w:pPr>
      <w:r w:rsidRPr="00B45095">
        <w:rPr>
          <w:rFonts w:ascii="Arial" w:eastAsia="Arial" w:hAnsi="Arial" w:cs="Arial"/>
          <w:sz w:val="22"/>
          <w:szCs w:val="22"/>
        </w:rPr>
        <w:t xml:space="preserve">Eugenio </w:t>
      </w:r>
      <w:proofErr w:type="spellStart"/>
      <w:r w:rsidRPr="00B45095">
        <w:rPr>
          <w:rFonts w:ascii="Arial" w:eastAsia="Arial" w:hAnsi="Arial" w:cs="Arial"/>
          <w:sz w:val="22"/>
          <w:szCs w:val="22"/>
        </w:rPr>
        <w:t>Yurrita</w:t>
      </w:r>
      <w:proofErr w:type="spellEnd"/>
      <w:r w:rsidRPr="00B45095">
        <w:rPr>
          <w:rFonts w:ascii="Arial" w:eastAsia="Arial" w:hAnsi="Arial" w:cs="Arial"/>
          <w:sz w:val="22"/>
          <w:szCs w:val="22"/>
        </w:rPr>
        <w:t>, consejero delegado de BBVA Seguros y presidente de BBVA Allianz, destacó</w:t>
      </w:r>
      <w:r w:rsidRPr="00B45095">
        <w:rPr>
          <w:rFonts w:ascii="Arial" w:eastAsia="Arial" w:hAnsi="Arial" w:cs="Arial"/>
          <w:i/>
          <w:sz w:val="22"/>
          <w:szCs w:val="22"/>
        </w:rPr>
        <w:t xml:space="preserve"> "los excelentes resultados que año sobre año viene obteniendo nuestra '</w:t>
      </w:r>
      <w:proofErr w:type="spellStart"/>
      <w:proofErr w:type="gramStart"/>
      <w:r w:rsidRPr="00B45095">
        <w:rPr>
          <w:rFonts w:ascii="Arial" w:eastAsia="Arial" w:hAnsi="Arial" w:cs="Arial"/>
          <w:i/>
          <w:sz w:val="22"/>
          <w:szCs w:val="22"/>
        </w:rPr>
        <w:t>joint</w:t>
      </w:r>
      <w:proofErr w:type="spellEnd"/>
      <w:r w:rsidRPr="00B45095">
        <w:rPr>
          <w:rFonts w:ascii="Arial" w:eastAsia="Arial" w:hAnsi="Arial" w:cs="Arial"/>
          <w:i/>
          <w:sz w:val="22"/>
          <w:szCs w:val="22"/>
        </w:rPr>
        <w:t>-venture</w:t>
      </w:r>
      <w:proofErr w:type="gramEnd"/>
      <w:r w:rsidRPr="00B45095">
        <w:rPr>
          <w:rFonts w:ascii="Arial" w:eastAsia="Arial" w:hAnsi="Arial" w:cs="Arial"/>
          <w:i/>
          <w:sz w:val="22"/>
          <w:szCs w:val="22"/>
        </w:rPr>
        <w:t>', donde el negocio de hogar mantiene una evolución muy notable. En 2024, vamos a seguir avanzando en las mismas líneas marcadas hasta ahora, con especial foco en empresa y pymes, donde queremos convertirnos en la entidad de referencia entre los clientes de BBVA”.</w:t>
      </w:r>
    </w:p>
    <w:p w14:paraId="0AEE4900" w14:textId="77777777" w:rsidR="00AF2186" w:rsidRDefault="00AF2186">
      <w:pPr>
        <w:spacing w:line="276" w:lineRule="auto"/>
        <w:jc w:val="both"/>
        <w:rPr>
          <w:rFonts w:ascii="Arial" w:eastAsia="Arial" w:hAnsi="Arial" w:cs="Arial"/>
          <w:i/>
          <w:sz w:val="22"/>
          <w:szCs w:val="22"/>
          <w:highlight w:val="yellow"/>
        </w:rPr>
      </w:pPr>
    </w:p>
    <w:p w14:paraId="7657336D" w14:textId="4FA37876" w:rsidR="004804FE" w:rsidRDefault="005A6BBE" w:rsidP="36F814B9">
      <w:pPr>
        <w:spacing w:line="276" w:lineRule="auto"/>
        <w:jc w:val="both"/>
        <w:rPr>
          <w:rFonts w:ascii="Arial" w:eastAsia="Arial" w:hAnsi="Arial" w:cs="Arial"/>
          <w:i/>
          <w:iCs/>
          <w:sz w:val="22"/>
          <w:szCs w:val="22"/>
          <w:highlight w:val="yellow"/>
        </w:rPr>
      </w:pPr>
      <w:r w:rsidRPr="36F814B9">
        <w:rPr>
          <w:rFonts w:ascii="Arial" w:eastAsia="Arial" w:hAnsi="Arial" w:cs="Arial"/>
          <w:sz w:val="22"/>
          <w:szCs w:val="22"/>
        </w:rPr>
        <w:t xml:space="preserve">Veit Stutz, </w:t>
      </w:r>
      <w:r w:rsidR="2D162BAA" w:rsidRPr="36F814B9">
        <w:rPr>
          <w:rFonts w:ascii="Arial" w:eastAsia="Arial" w:hAnsi="Arial" w:cs="Arial"/>
          <w:sz w:val="22"/>
          <w:szCs w:val="22"/>
        </w:rPr>
        <w:t xml:space="preserve">consejero delegado </w:t>
      </w:r>
      <w:r w:rsidRPr="36F814B9">
        <w:rPr>
          <w:rFonts w:ascii="Arial" w:eastAsia="Arial" w:hAnsi="Arial" w:cs="Arial"/>
          <w:sz w:val="22"/>
          <w:szCs w:val="22"/>
        </w:rPr>
        <w:t xml:space="preserve">de Allianz Seguros y </w:t>
      </w:r>
      <w:r w:rsidR="7579B956" w:rsidRPr="36F814B9">
        <w:rPr>
          <w:rFonts w:ascii="Arial" w:eastAsia="Arial" w:hAnsi="Arial" w:cs="Arial"/>
          <w:sz w:val="22"/>
          <w:szCs w:val="22"/>
        </w:rPr>
        <w:t>vicepresidente</w:t>
      </w:r>
      <w:r w:rsidRPr="36F814B9">
        <w:rPr>
          <w:rFonts w:ascii="Arial" w:eastAsia="Arial" w:hAnsi="Arial" w:cs="Arial"/>
          <w:sz w:val="22"/>
          <w:szCs w:val="22"/>
        </w:rPr>
        <w:t xml:space="preserve"> </w:t>
      </w:r>
      <w:r w:rsidR="006452DF" w:rsidRPr="36F814B9">
        <w:rPr>
          <w:rFonts w:ascii="Arial" w:eastAsia="Arial" w:hAnsi="Arial" w:cs="Arial"/>
          <w:sz w:val="22"/>
          <w:szCs w:val="22"/>
        </w:rPr>
        <w:t>de</w:t>
      </w:r>
      <w:r w:rsidRPr="36F814B9">
        <w:rPr>
          <w:rFonts w:ascii="Arial" w:eastAsia="Arial" w:hAnsi="Arial" w:cs="Arial"/>
          <w:sz w:val="22"/>
          <w:szCs w:val="22"/>
        </w:rPr>
        <w:t xml:space="preserve"> BBVA Allianz</w:t>
      </w:r>
      <w:r w:rsidRPr="36F814B9">
        <w:rPr>
          <w:rFonts w:ascii="Arial" w:eastAsia="Arial" w:hAnsi="Arial" w:cs="Arial"/>
          <w:i/>
          <w:iCs/>
          <w:sz w:val="22"/>
          <w:szCs w:val="22"/>
        </w:rPr>
        <w:t xml:space="preserve">, </w:t>
      </w:r>
      <w:r w:rsidR="006452DF" w:rsidRPr="36F814B9">
        <w:rPr>
          <w:rFonts w:ascii="Arial" w:eastAsia="Arial" w:hAnsi="Arial" w:cs="Arial"/>
          <w:i/>
          <w:iCs/>
          <w:sz w:val="22"/>
          <w:szCs w:val="22"/>
        </w:rPr>
        <w:t>señaló</w:t>
      </w:r>
      <w:r w:rsidRPr="36F814B9">
        <w:rPr>
          <w:rFonts w:ascii="Arial" w:eastAsia="Arial" w:hAnsi="Arial" w:cs="Arial"/>
          <w:i/>
          <w:iCs/>
          <w:sz w:val="22"/>
          <w:szCs w:val="22"/>
        </w:rPr>
        <w:t>:</w:t>
      </w:r>
      <w:r w:rsidR="00882574" w:rsidRPr="36F814B9">
        <w:rPr>
          <w:rFonts w:ascii="Arial" w:eastAsia="Arial" w:hAnsi="Arial" w:cs="Arial"/>
          <w:i/>
          <w:iCs/>
          <w:sz w:val="22"/>
          <w:szCs w:val="22"/>
        </w:rPr>
        <w:t xml:space="preserve"> </w:t>
      </w:r>
      <w:r w:rsidR="00F413BC" w:rsidRPr="36F814B9">
        <w:rPr>
          <w:rFonts w:ascii="Arial" w:eastAsia="Arial" w:hAnsi="Arial" w:cs="Arial"/>
          <w:i/>
          <w:iCs/>
          <w:sz w:val="22"/>
          <w:szCs w:val="22"/>
        </w:rPr>
        <w:t xml:space="preserve"> </w:t>
      </w:r>
      <w:r w:rsidR="004804FE" w:rsidRPr="36F814B9">
        <w:rPr>
          <w:rFonts w:ascii="Arial" w:eastAsia="Arial" w:hAnsi="Arial" w:cs="Arial"/>
          <w:i/>
          <w:iCs/>
          <w:sz w:val="22"/>
          <w:szCs w:val="22"/>
        </w:rPr>
        <w:t>"</w:t>
      </w:r>
      <w:r w:rsidR="00882574" w:rsidRPr="36F814B9">
        <w:rPr>
          <w:rFonts w:ascii="Arial" w:eastAsia="Arial" w:hAnsi="Arial" w:cs="Arial"/>
          <w:i/>
          <w:iCs/>
          <w:sz w:val="22"/>
          <w:szCs w:val="22"/>
        </w:rPr>
        <w:t xml:space="preserve">Estamos muy satisfechos con la evolución de nuestra </w:t>
      </w:r>
      <w:proofErr w:type="spellStart"/>
      <w:proofErr w:type="gramStart"/>
      <w:r w:rsidR="00882574" w:rsidRPr="36F814B9">
        <w:rPr>
          <w:rFonts w:ascii="Arial" w:eastAsia="Arial" w:hAnsi="Arial" w:cs="Arial"/>
          <w:i/>
          <w:iCs/>
          <w:sz w:val="22"/>
          <w:szCs w:val="22"/>
        </w:rPr>
        <w:t>joint</w:t>
      </w:r>
      <w:proofErr w:type="spellEnd"/>
      <w:r w:rsidR="00882574" w:rsidRPr="36F814B9">
        <w:rPr>
          <w:rFonts w:ascii="Arial" w:eastAsia="Arial" w:hAnsi="Arial" w:cs="Arial"/>
          <w:i/>
          <w:iCs/>
          <w:sz w:val="22"/>
          <w:szCs w:val="22"/>
        </w:rPr>
        <w:t xml:space="preserve"> venture</w:t>
      </w:r>
      <w:proofErr w:type="gramEnd"/>
      <w:r w:rsidR="00882574" w:rsidRPr="36F814B9">
        <w:rPr>
          <w:rFonts w:ascii="Arial" w:eastAsia="Arial" w:hAnsi="Arial" w:cs="Arial"/>
          <w:i/>
          <w:iCs/>
          <w:sz w:val="22"/>
          <w:szCs w:val="22"/>
        </w:rPr>
        <w:t>. Es un ejemplo de colaboración de dos grandes compañías, con objetivos ambiciosos y que está dando frutos. Confiamos en que en los próximos años sigamos escribiendo esta historia de éxito juntos</w:t>
      </w:r>
      <w:r w:rsidR="004804FE" w:rsidRPr="36F814B9">
        <w:rPr>
          <w:rFonts w:ascii="Arial" w:eastAsia="Arial" w:hAnsi="Arial" w:cs="Arial"/>
          <w:i/>
          <w:iCs/>
          <w:sz w:val="22"/>
          <w:szCs w:val="22"/>
        </w:rPr>
        <w:t>"</w:t>
      </w:r>
      <w:r w:rsidR="00D66542" w:rsidRPr="36F814B9">
        <w:rPr>
          <w:rFonts w:ascii="Arial" w:eastAsia="Arial" w:hAnsi="Arial" w:cs="Arial"/>
          <w:i/>
          <w:iCs/>
          <w:sz w:val="22"/>
          <w:szCs w:val="22"/>
        </w:rPr>
        <w:t>.</w:t>
      </w:r>
    </w:p>
    <w:p w14:paraId="7392F382" w14:textId="77777777" w:rsidR="004804FE" w:rsidRDefault="004804FE">
      <w:pPr>
        <w:spacing w:line="276" w:lineRule="auto"/>
        <w:jc w:val="both"/>
        <w:rPr>
          <w:rFonts w:ascii="Arial" w:eastAsia="Arial" w:hAnsi="Arial" w:cs="Arial"/>
          <w:i/>
          <w:sz w:val="22"/>
          <w:szCs w:val="22"/>
          <w:highlight w:val="yellow"/>
        </w:rPr>
      </w:pPr>
    </w:p>
    <w:p w14:paraId="0AEE4901" w14:textId="2F5312F7" w:rsidR="00AF2186" w:rsidRDefault="005C0338">
      <w:pPr>
        <w:spacing w:line="276" w:lineRule="auto"/>
        <w:jc w:val="both"/>
        <w:rPr>
          <w:rFonts w:ascii="Arial" w:eastAsia="Arial" w:hAnsi="Arial" w:cs="Arial"/>
          <w:sz w:val="22"/>
          <w:szCs w:val="22"/>
        </w:rPr>
      </w:pPr>
      <w:r w:rsidRPr="2A68D46D">
        <w:rPr>
          <w:rFonts w:ascii="Arial" w:eastAsia="Arial" w:hAnsi="Arial" w:cs="Arial"/>
          <w:sz w:val="22"/>
          <w:szCs w:val="22"/>
        </w:rPr>
        <w:t xml:space="preserve">Por su parte, Maite Archaga, </w:t>
      </w:r>
      <w:r w:rsidR="7095969C" w:rsidRPr="2A68D46D">
        <w:rPr>
          <w:rFonts w:ascii="Arial" w:eastAsia="Arial" w:hAnsi="Arial" w:cs="Arial"/>
          <w:sz w:val="22"/>
          <w:szCs w:val="22"/>
        </w:rPr>
        <w:t>d</w:t>
      </w:r>
      <w:r w:rsidR="00866CAF" w:rsidRPr="2A68D46D">
        <w:rPr>
          <w:rFonts w:ascii="Arial" w:eastAsia="Arial" w:hAnsi="Arial" w:cs="Arial"/>
          <w:sz w:val="22"/>
          <w:szCs w:val="22"/>
        </w:rPr>
        <w:t xml:space="preserve">irectora </w:t>
      </w:r>
      <w:r w:rsidR="10B8EDEC" w:rsidRPr="2A68D46D">
        <w:rPr>
          <w:rFonts w:ascii="Arial" w:eastAsia="Arial" w:hAnsi="Arial" w:cs="Arial"/>
          <w:sz w:val="22"/>
          <w:szCs w:val="22"/>
        </w:rPr>
        <w:t>g</w:t>
      </w:r>
      <w:r w:rsidR="00866CAF" w:rsidRPr="2A68D46D">
        <w:rPr>
          <w:rFonts w:ascii="Arial" w:eastAsia="Arial" w:hAnsi="Arial" w:cs="Arial"/>
          <w:sz w:val="22"/>
          <w:szCs w:val="22"/>
        </w:rPr>
        <w:t>eneral de BBVA Allianz Seguros</w:t>
      </w:r>
      <w:r w:rsidRPr="2A68D46D">
        <w:rPr>
          <w:rFonts w:ascii="Arial" w:eastAsia="Arial" w:hAnsi="Arial" w:cs="Arial"/>
          <w:sz w:val="22"/>
          <w:szCs w:val="22"/>
        </w:rPr>
        <w:t>, señaló:</w:t>
      </w:r>
      <w:r w:rsidR="6C2D4AFE" w:rsidRPr="2A68D46D">
        <w:rPr>
          <w:rFonts w:ascii="Arial" w:eastAsia="Arial" w:hAnsi="Arial" w:cs="Arial"/>
          <w:sz w:val="22"/>
          <w:szCs w:val="22"/>
        </w:rPr>
        <w:t xml:space="preserve"> </w:t>
      </w:r>
      <w:r w:rsidR="00504A98" w:rsidRPr="2A68D46D">
        <w:rPr>
          <w:rFonts w:ascii="Arial" w:eastAsia="Arial" w:hAnsi="Arial" w:cs="Arial"/>
          <w:i/>
          <w:iCs/>
          <w:sz w:val="22"/>
          <w:szCs w:val="22"/>
        </w:rPr>
        <w:t>“</w:t>
      </w:r>
      <w:r w:rsidRPr="2A68D46D">
        <w:rPr>
          <w:rFonts w:ascii="Arial" w:eastAsia="Arial" w:hAnsi="Arial" w:cs="Arial"/>
          <w:i/>
          <w:iCs/>
          <w:sz w:val="22"/>
          <w:szCs w:val="22"/>
        </w:rPr>
        <w:t>estamos muy satisfechos de poder decir que hemos culminado nuestros tres primeros años de vida superando nuestros objetivos en términos de rentabilidad. Nuestra ambición ahora es mantener esta línea de crecimiento rentable y poner un foco muy especial en la innovación</w:t>
      </w:r>
      <w:r w:rsidR="3ABEDBAD" w:rsidRPr="2A68D46D">
        <w:rPr>
          <w:rFonts w:ascii="Arial" w:eastAsia="Arial" w:hAnsi="Arial" w:cs="Arial"/>
          <w:i/>
          <w:iCs/>
          <w:sz w:val="22"/>
          <w:szCs w:val="22"/>
        </w:rPr>
        <w:t xml:space="preserve">. </w:t>
      </w:r>
      <w:r w:rsidR="29FC768C" w:rsidRPr="2A68D46D">
        <w:rPr>
          <w:rFonts w:ascii="Arial" w:eastAsia="Arial" w:hAnsi="Arial" w:cs="Arial"/>
          <w:i/>
          <w:iCs/>
          <w:sz w:val="22"/>
          <w:szCs w:val="22"/>
        </w:rPr>
        <w:t xml:space="preserve"> </w:t>
      </w:r>
      <w:r w:rsidR="3413EC75" w:rsidRPr="2A68D46D">
        <w:rPr>
          <w:rFonts w:ascii="Arial" w:eastAsia="Arial" w:hAnsi="Arial" w:cs="Arial"/>
          <w:i/>
          <w:iCs/>
          <w:sz w:val="22"/>
          <w:szCs w:val="22"/>
        </w:rPr>
        <w:t xml:space="preserve">Tenemos un compromiso de entrega de calidad de servicio excelente con nuestros clientes apoyados en la tecnología y </w:t>
      </w:r>
      <w:proofErr w:type="spellStart"/>
      <w:r w:rsidR="3413EC75" w:rsidRPr="2A68D46D">
        <w:rPr>
          <w:rFonts w:ascii="Arial" w:eastAsia="Arial" w:hAnsi="Arial" w:cs="Arial"/>
          <w:i/>
          <w:iCs/>
          <w:sz w:val="22"/>
          <w:szCs w:val="22"/>
        </w:rPr>
        <w:t>digitalizacion</w:t>
      </w:r>
      <w:proofErr w:type="spellEnd"/>
      <w:r w:rsidR="75365E53" w:rsidRPr="2A68D46D">
        <w:rPr>
          <w:rFonts w:ascii="Arial" w:eastAsia="Arial" w:hAnsi="Arial" w:cs="Arial"/>
          <w:i/>
          <w:iCs/>
          <w:sz w:val="22"/>
          <w:szCs w:val="22"/>
        </w:rPr>
        <w:t>”</w:t>
      </w:r>
      <w:r w:rsidR="5D8FE777" w:rsidRPr="2A68D46D">
        <w:rPr>
          <w:rFonts w:ascii="Arial" w:eastAsia="Arial" w:hAnsi="Arial" w:cs="Arial"/>
          <w:i/>
          <w:iCs/>
          <w:sz w:val="22"/>
          <w:szCs w:val="22"/>
        </w:rPr>
        <w:t>.</w:t>
      </w:r>
      <w:r w:rsidRPr="2A68D46D">
        <w:rPr>
          <w:rFonts w:ascii="Arial" w:eastAsia="Arial" w:hAnsi="Arial" w:cs="Arial"/>
          <w:sz w:val="22"/>
          <w:szCs w:val="22"/>
        </w:rPr>
        <w:t xml:space="preserve"> </w:t>
      </w:r>
    </w:p>
    <w:p w14:paraId="0AEE4902" w14:textId="77777777" w:rsidR="00AF2186" w:rsidRDefault="00AF2186">
      <w:pPr>
        <w:spacing w:line="276" w:lineRule="auto"/>
        <w:jc w:val="both"/>
        <w:rPr>
          <w:rFonts w:ascii="Arial" w:eastAsia="Arial" w:hAnsi="Arial" w:cs="Arial"/>
          <w:sz w:val="22"/>
          <w:szCs w:val="22"/>
        </w:rPr>
      </w:pPr>
    </w:p>
    <w:p w14:paraId="0AEE4903" w14:textId="77777777" w:rsidR="00AF2186" w:rsidRDefault="005C0338">
      <w:pPr>
        <w:spacing w:line="276" w:lineRule="auto"/>
        <w:jc w:val="both"/>
        <w:rPr>
          <w:rFonts w:ascii="Arial" w:eastAsia="Arial" w:hAnsi="Arial" w:cs="Arial"/>
          <w:sz w:val="22"/>
          <w:szCs w:val="22"/>
        </w:rPr>
      </w:pPr>
      <w:r>
        <w:rPr>
          <w:rFonts w:ascii="Arial" w:eastAsia="Arial" w:hAnsi="Arial" w:cs="Arial"/>
          <w:sz w:val="22"/>
          <w:szCs w:val="22"/>
        </w:rPr>
        <w:t>La evolución en la contratación de las diferentes soluciones aseguradoras de BBVA Allianz ha sido muy positiva a lo largo de 2023. Una gran acogida por parte del mercado que se refleja en toda la gama de seguros ofrecidos por la ‘</w:t>
      </w:r>
      <w:proofErr w:type="spellStart"/>
      <w:proofErr w:type="gramStart"/>
      <w:r>
        <w:rPr>
          <w:rFonts w:ascii="Arial" w:eastAsia="Arial" w:hAnsi="Arial" w:cs="Arial"/>
          <w:sz w:val="22"/>
          <w:szCs w:val="22"/>
        </w:rPr>
        <w:t>joint</w:t>
      </w:r>
      <w:proofErr w:type="spellEnd"/>
      <w:r>
        <w:rPr>
          <w:rFonts w:ascii="Arial" w:eastAsia="Arial" w:hAnsi="Arial" w:cs="Arial"/>
          <w:sz w:val="22"/>
          <w:szCs w:val="22"/>
        </w:rPr>
        <w:t xml:space="preserve"> venture</w:t>
      </w:r>
      <w:proofErr w:type="gramEnd"/>
      <w:r>
        <w:rPr>
          <w:rFonts w:ascii="Arial" w:eastAsia="Arial" w:hAnsi="Arial" w:cs="Arial"/>
          <w:sz w:val="22"/>
          <w:szCs w:val="22"/>
        </w:rPr>
        <w:t xml:space="preserve">' con </w:t>
      </w:r>
      <w:r w:rsidRPr="00460F46">
        <w:rPr>
          <w:rFonts w:ascii="Arial" w:eastAsia="Arial" w:hAnsi="Arial" w:cs="Arial"/>
          <w:sz w:val="22"/>
          <w:szCs w:val="22"/>
        </w:rPr>
        <w:t xml:space="preserve">cerca de 313.000 nuevas pólizas contratadas en 2023, </w:t>
      </w:r>
      <w:r w:rsidRPr="00460F46">
        <w:rPr>
          <w:rFonts w:ascii="Arial" w:eastAsia="Arial" w:hAnsi="Arial" w:cs="Arial"/>
          <w:b/>
          <w:sz w:val="22"/>
          <w:szCs w:val="22"/>
        </w:rPr>
        <w:t>un 43,8% más que el año anter</w:t>
      </w:r>
      <w:r>
        <w:rPr>
          <w:rFonts w:ascii="Arial" w:eastAsia="Arial" w:hAnsi="Arial" w:cs="Arial"/>
          <w:b/>
          <w:sz w:val="22"/>
          <w:szCs w:val="22"/>
        </w:rPr>
        <w:t>ior</w:t>
      </w:r>
      <w:r>
        <w:rPr>
          <w:rFonts w:ascii="Arial" w:eastAsia="Arial" w:hAnsi="Arial" w:cs="Arial"/>
          <w:sz w:val="22"/>
          <w:szCs w:val="22"/>
        </w:rPr>
        <w:t xml:space="preserve">.  </w:t>
      </w:r>
    </w:p>
    <w:p w14:paraId="0AEE4904" w14:textId="77777777" w:rsidR="00AF2186" w:rsidRDefault="00AF2186">
      <w:pPr>
        <w:spacing w:line="276" w:lineRule="auto"/>
        <w:jc w:val="both"/>
        <w:rPr>
          <w:rFonts w:ascii="Arial" w:eastAsia="Arial" w:hAnsi="Arial" w:cs="Arial"/>
          <w:sz w:val="22"/>
          <w:szCs w:val="22"/>
        </w:rPr>
      </w:pPr>
    </w:p>
    <w:p w14:paraId="0AEE4905" w14:textId="77777777" w:rsidR="00AF2186" w:rsidRDefault="005C0338">
      <w:pPr>
        <w:spacing w:line="276" w:lineRule="auto"/>
        <w:jc w:val="both"/>
        <w:rPr>
          <w:rFonts w:ascii="Arial" w:eastAsia="Arial" w:hAnsi="Arial" w:cs="Arial"/>
          <w:sz w:val="22"/>
          <w:szCs w:val="22"/>
        </w:rPr>
      </w:pPr>
      <w:r w:rsidRPr="2A68D46D">
        <w:rPr>
          <w:rFonts w:ascii="Arial" w:eastAsia="Arial" w:hAnsi="Arial" w:cs="Arial"/>
          <w:sz w:val="22"/>
          <w:szCs w:val="22"/>
        </w:rPr>
        <w:t xml:space="preserve">De las nuevas pólizas contratadas, 283.546 corresponden a líneas personales (hogar, accidentes, decesos, asistencia en viaje, autos y motos) mientras que, </w:t>
      </w:r>
      <w:proofErr w:type="gramStart"/>
      <w:r w:rsidRPr="2A68D46D">
        <w:rPr>
          <w:rFonts w:ascii="Arial" w:eastAsia="Arial" w:hAnsi="Arial" w:cs="Arial"/>
          <w:sz w:val="22"/>
          <w:szCs w:val="22"/>
        </w:rPr>
        <w:t>las 29.396 restantes</w:t>
      </w:r>
      <w:proofErr w:type="gramEnd"/>
      <w:r w:rsidRPr="2A68D46D">
        <w:rPr>
          <w:rFonts w:ascii="Arial" w:eastAsia="Arial" w:hAnsi="Arial" w:cs="Arial"/>
          <w:sz w:val="22"/>
          <w:szCs w:val="22"/>
        </w:rPr>
        <w:t xml:space="preserve"> corresponden a líneas comerciales (comercios, </w:t>
      </w:r>
      <w:proofErr w:type="spellStart"/>
      <w:r w:rsidRPr="2A68D46D">
        <w:rPr>
          <w:rFonts w:ascii="Arial" w:eastAsia="Arial" w:hAnsi="Arial" w:cs="Arial"/>
          <w:sz w:val="22"/>
          <w:szCs w:val="22"/>
        </w:rPr>
        <w:t>multirriesgos</w:t>
      </w:r>
      <w:proofErr w:type="spellEnd"/>
      <w:r w:rsidRPr="2A68D46D">
        <w:rPr>
          <w:rFonts w:ascii="Arial" w:eastAsia="Arial" w:hAnsi="Arial" w:cs="Arial"/>
          <w:sz w:val="22"/>
          <w:szCs w:val="22"/>
        </w:rPr>
        <w:t xml:space="preserve"> negocios y pymes, responsabilidad civil y medioambiental, directivos y </w:t>
      </w:r>
      <w:proofErr w:type="spellStart"/>
      <w:r w:rsidRPr="2A68D46D">
        <w:rPr>
          <w:rFonts w:ascii="Arial" w:eastAsia="Arial" w:hAnsi="Arial" w:cs="Arial"/>
          <w:sz w:val="22"/>
          <w:szCs w:val="22"/>
        </w:rPr>
        <w:t>cyber</w:t>
      </w:r>
      <w:proofErr w:type="spellEnd"/>
      <w:r w:rsidRPr="2A68D46D">
        <w:rPr>
          <w:rFonts w:ascii="Arial" w:eastAsia="Arial" w:hAnsi="Arial" w:cs="Arial"/>
          <w:sz w:val="22"/>
          <w:szCs w:val="22"/>
        </w:rPr>
        <w:t xml:space="preserve">). </w:t>
      </w:r>
    </w:p>
    <w:p w14:paraId="751DBE7F" w14:textId="0CE316FD" w:rsidR="36F814B9" w:rsidRDefault="36F814B9" w:rsidP="36F814B9">
      <w:pPr>
        <w:spacing w:line="276" w:lineRule="auto"/>
        <w:jc w:val="both"/>
        <w:rPr>
          <w:rFonts w:ascii="Arial" w:eastAsia="Arial" w:hAnsi="Arial" w:cs="Arial"/>
          <w:sz w:val="22"/>
          <w:szCs w:val="22"/>
        </w:rPr>
      </w:pPr>
    </w:p>
    <w:p w14:paraId="372FBBEF" w14:textId="506781D4" w:rsidR="4BB6CA72" w:rsidRDefault="39CDAA4C" w:rsidP="2A68D46D">
      <w:pPr>
        <w:spacing w:line="276" w:lineRule="auto"/>
        <w:ind w:right="425"/>
        <w:jc w:val="both"/>
        <w:rPr>
          <w:rFonts w:ascii="Arial" w:eastAsia="Arial" w:hAnsi="Arial" w:cs="Arial"/>
          <w:sz w:val="18"/>
          <w:szCs w:val="18"/>
        </w:rPr>
      </w:pPr>
      <w:r w:rsidRPr="2A68D46D">
        <w:rPr>
          <w:rFonts w:ascii="Arial" w:eastAsia="Arial" w:hAnsi="Arial" w:cs="Arial"/>
          <w:sz w:val="18"/>
          <w:szCs w:val="18"/>
        </w:rPr>
        <w:t>* Cifras en contabilidad local GAAP</w:t>
      </w:r>
      <w:r w:rsidRPr="2A68D46D">
        <w:rPr>
          <w:rFonts w:ascii="Arial" w:eastAsia="Arial" w:hAnsi="Arial" w:cs="Arial"/>
          <w:b/>
          <w:bCs/>
          <w:sz w:val="18"/>
          <w:szCs w:val="18"/>
        </w:rPr>
        <w:t xml:space="preserve"> </w:t>
      </w:r>
    </w:p>
    <w:p w14:paraId="6439A114" w14:textId="5CDEF5AE" w:rsidR="4BB6CA72" w:rsidRDefault="4BB6CA72" w:rsidP="36F814B9">
      <w:pPr>
        <w:spacing w:line="276" w:lineRule="auto"/>
        <w:jc w:val="both"/>
        <w:rPr>
          <w:rFonts w:ascii="Arial" w:eastAsia="Arial" w:hAnsi="Arial" w:cs="Arial"/>
          <w:b/>
          <w:bCs/>
          <w:sz w:val="18"/>
          <w:szCs w:val="18"/>
        </w:rPr>
      </w:pPr>
      <w:r w:rsidRPr="2A68D46D">
        <w:rPr>
          <w:rFonts w:ascii="Arial" w:eastAsia="Arial" w:hAnsi="Arial" w:cs="Arial"/>
          <w:b/>
          <w:bCs/>
          <w:sz w:val="18"/>
          <w:szCs w:val="18"/>
        </w:rPr>
        <w:t>*</w:t>
      </w:r>
      <w:r w:rsidR="4838615A" w:rsidRPr="2A68D46D">
        <w:rPr>
          <w:rFonts w:ascii="Arial" w:eastAsia="Arial" w:hAnsi="Arial" w:cs="Arial"/>
          <w:b/>
          <w:bCs/>
          <w:sz w:val="18"/>
          <w:szCs w:val="18"/>
        </w:rPr>
        <w:t>*</w:t>
      </w:r>
      <w:r w:rsidRPr="2A68D46D">
        <w:rPr>
          <w:rFonts w:ascii="Arial" w:eastAsia="Arial" w:hAnsi="Arial" w:cs="Arial"/>
          <w:sz w:val="18"/>
          <w:szCs w:val="18"/>
        </w:rPr>
        <w:t>Datos sin amortización del intangible</w:t>
      </w:r>
    </w:p>
    <w:p w14:paraId="0C431AFF" w14:textId="731E23A2" w:rsidR="36F814B9" w:rsidRDefault="36F814B9" w:rsidP="2A68D46D">
      <w:pPr>
        <w:spacing w:line="276" w:lineRule="auto"/>
        <w:ind w:right="425"/>
        <w:jc w:val="both"/>
        <w:rPr>
          <w:rFonts w:ascii="Arial" w:eastAsia="Arial" w:hAnsi="Arial" w:cs="Arial"/>
          <w:sz w:val="18"/>
          <w:szCs w:val="18"/>
        </w:rPr>
      </w:pPr>
    </w:p>
    <w:p w14:paraId="0AEE4906" w14:textId="77777777" w:rsidR="00AF2186" w:rsidRDefault="00AF2186">
      <w:pPr>
        <w:spacing w:line="276" w:lineRule="auto"/>
        <w:jc w:val="both"/>
        <w:rPr>
          <w:rFonts w:ascii="Arial" w:eastAsia="Arial" w:hAnsi="Arial" w:cs="Arial"/>
          <w:sz w:val="22"/>
          <w:szCs w:val="22"/>
        </w:rPr>
      </w:pPr>
    </w:p>
    <w:p w14:paraId="0AEE4907" w14:textId="77777777" w:rsidR="00AF2186" w:rsidRDefault="005C0338">
      <w:pPr>
        <w:spacing w:line="276" w:lineRule="auto"/>
        <w:jc w:val="both"/>
        <w:rPr>
          <w:rFonts w:ascii="Arial" w:eastAsia="Arial" w:hAnsi="Arial" w:cs="Arial"/>
          <w:b/>
          <w:sz w:val="22"/>
          <w:szCs w:val="22"/>
        </w:rPr>
      </w:pPr>
      <w:r>
        <w:rPr>
          <w:rFonts w:ascii="Arial" w:eastAsia="Arial" w:hAnsi="Arial" w:cs="Arial"/>
          <w:b/>
          <w:sz w:val="22"/>
          <w:szCs w:val="22"/>
        </w:rPr>
        <w:t>Soluciones aseguradoras para empresas</w:t>
      </w:r>
    </w:p>
    <w:p w14:paraId="0AEE4908" w14:textId="77777777" w:rsidR="00AF2186" w:rsidRDefault="00AF2186">
      <w:pPr>
        <w:spacing w:line="276" w:lineRule="auto"/>
        <w:jc w:val="both"/>
        <w:rPr>
          <w:rFonts w:ascii="Arial" w:eastAsia="Arial" w:hAnsi="Arial" w:cs="Arial"/>
          <w:sz w:val="22"/>
          <w:szCs w:val="22"/>
        </w:rPr>
      </w:pPr>
    </w:p>
    <w:p w14:paraId="0AEE4909" w14:textId="77777777" w:rsidR="00AF2186" w:rsidRDefault="005C0338">
      <w:pPr>
        <w:spacing w:line="276" w:lineRule="auto"/>
        <w:jc w:val="both"/>
        <w:rPr>
          <w:rFonts w:ascii="Arial" w:eastAsia="Arial" w:hAnsi="Arial" w:cs="Arial"/>
          <w:sz w:val="22"/>
          <w:szCs w:val="22"/>
        </w:rPr>
      </w:pPr>
      <w:r>
        <w:rPr>
          <w:rFonts w:ascii="Arial" w:eastAsia="Arial" w:hAnsi="Arial" w:cs="Arial"/>
          <w:sz w:val="22"/>
          <w:szCs w:val="22"/>
        </w:rPr>
        <w:t>Para BBVA Allianz, las soluciones aseguradoras para empresas resultan fundamentales en un entorno empresarial cada vez más complejo y competitivo. Las compañías se enfrentan a situaciones como accidentes laborales o ciberataques, y contar con un seguro adecuado es crucial para su supervivencia y éxito a largo plazo. Asimismo, la globalización ha expuesto a las empresas a constantes cambios y adaptaciones, que requiere también soluciones de seguros más flexibles y especializadas.</w:t>
      </w:r>
    </w:p>
    <w:p w14:paraId="0AEE490A" w14:textId="77777777" w:rsidR="00AF2186" w:rsidRDefault="00AF2186">
      <w:pPr>
        <w:spacing w:line="276" w:lineRule="auto"/>
        <w:jc w:val="both"/>
        <w:rPr>
          <w:rFonts w:ascii="Arial" w:eastAsia="Arial" w:hAnsi="Arial" w:cs="Arial"/>
          <w:sz w:val="22"/>
          <w:szCs w:val="22"/>
        </w:rPr>
      </w:pPr>
    </w:p>
    <w:p w14:paraId="0AEE490B" w14:textId="77777777" w:rsidR="00AF2186" w:rsidRDefault="005C0338">
      <w:pPr>
        <w:spacing w:line="276" w:lineRule="auto"/>
        <w:jc w:val="both"/>
        <w:rPr>
          <w:rFonts w:ascii="Arial" w:eastAsia="Arial" w:hAnsi="Arial" w:cs="Arial"/>
          <w:sz w:val="22"/>
          <w:szCs w:val="22"/>
        </w:rPr>
      </w:pPr>
      <w:r>
        <w:rPr>
          <w:rFonts w:ascii="Arial" w:eastAsia="Arial" w:hAnsi="Arial" w:cs="Arial"/>
          <w:sz w:val="22"/>
          <w:szCs w:val="22"/>
        </w:rPr>
        <w:t xml:space="preserve">En este sentido, BBVA Allianz Seguros ha fijado como una de sus ambiciones para este ejercicio 2024 impulsar su proximidad a pymes y comercios, un ámbito en el que existen </w:t>
      </w:r>
      <w:r>
        <w:rPr>
          <w:rFonts w:ascii="Arial" w:eastAsia="Arial" w:hAnsi="Arial" w:cs="Arial"/>
          <w:sz w:val="22"/>
          <w:szCs w:val="22"/>
        </w:rPr>
        <w:lastRenderedPageBreak/>
        <w:t xml:space="preserve">todavía grandes oportunidades de crecimiento. BBVA Allianz Seguros dispone de un amplio abanico de opciones para este segmento entre las que cabe destacar </w:t>
      </w:r>
      <w:proofErr w:type="spellStart"/>
      <w:r>
        <w:rPr>
          <w:rFonts w:ascii="Arial" w:eastAsia="Arial" w:hAnsi="Arial" w:cs="Arial"/>
          <w:sz w:val="22"/>
          <w:szCs w:val="22"/>
        </w:rPr>
        <w:t>Multirriesgos</w:t>
      </w:r>
      <w:proofErr w:type="spellEnd"/>
      <w:r>
        <w:rPr>
          <w:rFonts w:ascii="Arial" w:eastAsia="Arial" w:hAnsi="Arial" w:cs="Arial"/>
          <w:sz w:val="22"/>
          <w:szCs w:val="22"/>
        </w:rPr>
        <w:t xml:space="preserve"> para Comercios, </w:t>
      </w:r>
      <w:proofErr w:type="spellStart"/>
      <w:r>
        <w:rPr>
          <w:rFonts w:ascii="Arial" w:eastAsia="Arial" w:hAnsi="Arial" w:cs="Arial"/>
          <w:sz w:val="22"/>
          <w:szCs w:val="22"/>
        </w:rPr>
        <w:t>Multirriesgos</w:t>
      </w:r>
      <w:proofErr w:type="spellEnd"/>
      <w:r>
        <w:rPr>
          <w:rFonts w:ascii="Arial" w:eastAsia="Arial" w:hAnsi="Arial" w:cs="Arial"/>
          <w:sz w:val="22"/>
          <w:szCs w:val="22"/>
        </w:rPr>
        <w:t xml:space="preserve"> Industriales, Baja Laboral Autónomos (</w:t>
      </w:r>
      <w:proofErr w:type="spellStart"/>
      <w:r>
        <w:rPr>
          <w:rFonts w:ascii="Arial" w:eastAsia="Arial" w:hAnsi="Arial" w:cs="Arial"/>
          <w:sz w:val="22"/>
          <w:szCs w:val="22"/>
        </w:rPr>
        <w:t>Ilt</w:t>
      </w:r>
      <w:proofErr w:type="spellEnd"/>
      <w:r>
        <w:rPr>
          <w:rFonts w:ascii="Arial" w:eastAsia="Arial" w:hAnsi="Arial" w:cs="Arial"/>
          <w:sz w:val="22"/>
          <w:szCs w:val="22"/>
        </w:rPr>
        <w:t xml:space="preserve">), Responsabilidad Civil, D&amp;O, </w:t>
      </w:r>
      <w:proofErr w:type="spellStart"/>
      <w:r>
        <w:rPr>
          <w:rFonts w:ascii="Arial" w:eastAsia="Arial" w:hAnsi="Arial" w:cs="Arial"/>
          <w:sz w:val="22"/>
          <w:szCs w:val="22"/>
        </w:rPr>
        <w:t>Cyber</w:t>
      </w:r>
      <w:proofErr w:type="spellEnd"/>
      <w:r>
        <w:rPr>
          <w:rFonts w:ascii="Arial" w:eastAsia="Arial" w:hAnsi="Arial" w:cs="Arial"/>
          <w:sz w:val="22"/>
          <w:szCs w:val="22"/>
        </w:rPr>
        <w:t xml:space="preserve"> y Auto Profesional.</w:t>
      </w:r>
    </w:p>
    <w:p w14:paraId="0AEE490C" w14:textId="77777777" w:rsidR="00AF2186" w:rsidRDefault="00AF2186">
      <w:pPr>
        <w:spacing w:line="276" w:lineRule="auto"/>
        <w:jc w:val="both"/>
        <w:rPr>
          <w:rFonts w:ascii="Arial" w:eastAsia="Arial" w:hAnsi="Arial" w:cs="Arial"/>
          <w:sz w:val="22"/>
          <w:szCs w:val="22"/>
        </w:rPr>
      </w:pPr>
    </w:p>
    <w:p w14:paraId="0AEE490D" w14:textId="77777777" w:rsidR="00AF2186" w:rsidRDefault="00AF2186">
      <w:pPr>
        <w:spacing w:line="276" w:lineRule="auto"/>
        <w:jc w:val="both"/>
        <w:rPr>
          <w:rFonts w:ascii="Arial" w:eastAsia="Arial" w:hAnsi="Arial" w:cs="Arial"/>
          <w:sz w:val="22"/>
          <w:szCs w:val="22"/>
        </w:rPr>
      </w:pPr>
    </w:p>
    <w:p w14:paraId="0AEE490E" w14:textId="77777777" w:rsidR="00AF2186" w:rsidRDefault="005C0338">
      <w:pPr>
        <w:spacing w:line="276" w:lineRule="auto"/>
        <w:jc w:val="both"/>
        <w:rPr>
          <w:rFonts w:ascii="Arial" w:eastAsia="Arial" w:hAnsi="Arial" w:cs="Arial"/>
          <w:b/>
          <w:sz w:val="22"/>
          <w:szCs w:val="22"/>
        </w:rPr>
      </w:pPr>
      <w:r>
        <w:rPr>
          <w:rFonts w:ascii="Arial" w:eastAsia="Arial" w:hAnsi="Arial" w:cs="Arial"/>
          <w:b/>
          <w:sz w:val="22"/>
          <w:szCs w:val="22"/>
        </w:rPr>
        <w:t>Sobre BBVA Allianz Seguros</w:t>
      </w:r>
    </w:p>
    <w:p w14:paraId="0AEE490F" w14:textId="77777777" w:rsidR="00AF2186" w:rsidRDefault="00AF2186">
      <w:pPr>
        <w:spacing w:line="276" w:lineRule="auto"/>
        <w:jc w:val="both"/>
        <w:rPr>
          <w:rFonts w:ascii="Arial" w:eastAsia="Arial" w:hAnsi="Arial" w:cs="Arial"/>
          <w:b/>
          <w:sz w:val="22"/>
          <w:szCs w:val="22"/>
        </w:rPr>
      </w:pPr>
    </w:p>
    <w:p w14:paraId="0AEE4910" w14:textId="77777777" w:rsidR="00AF2186" w:rsidRDefault="005C0338">
      <w:pPr>
        <w:spacing w:line="276" w:lineRule="auto"/>
        <w:jc w:val="both"/>
        <w:rPr>
          <w:rFonts w:ascii="Arial" w:eastAsia="Arial" w:hAnsi="Arial" w:cs="Arial"/>
          <w:sz w:val="22"/>
          <w:szCs w:val="22"/>
        </w:rPr>
      </w:pPr>
      <w:r>
        <w:rPr>
          <w:rFonts w:ascii="Arial" w:eastAsia="Arial" w:hAnsi="Arial" w:cs="Arial"/>
          <w:sz w:val="22"/>
          <w:szCs w:val="22"/>
        </w:rPr>
        <w:t>BBVA Allianz Seguros, la ‘</w:t>
      </w:r>
      <w:proofErr w:type="spellStart"/>
      <w:proofErr w:type="gramStart"/>
      <w:r>
        <w:rPr>
          <w:rFonts w:ascii="Arial" w:eastAsia="Arial" w:hAnsi="Arial" w:cs="Arial"/>
          <w:sz w:val="22"/>
          <w:szCs w:val="22"/>
        </w:rPr>
        <w:t>joint</w:t>
      </w:r>
      <w:proofErr w:type="spellEnd"/>
      <w:r>
        <w:rPr>
          <w:rFonts w:ascii="Arial" w:eastAsia="Arial" w:hAnsi="Arial" w:cs="Arial"/>
          <w:sz w:val="22"/>
          <w:szCs w:val="22"/>
        </w:rPr>
        <w:t xml:space="preserve"> venture</w:t>
      </w:r>
      <w:proofErr w:type="gramEnd"/>
      <w:r>
        <w:rPr>
          <w:rFonts w:ascii="Arial" w:eastAsia="Arial" w:hAnsi="Arial" w:cs="Arial"/>
          <w:sz w:val="22"/>
          <w:szCs w:val="22"/>
        </w:rPr>
        <w:t xml:space="preserve">’ de </w:t>
      </w:r>
      <w:proofErr w:type="spellStart"/>
      <w:r>
        <w:rPr>
          <w:rFonts w:ascii="Arial" w:eastAsia="Arial" w:hAnsi="Arial" w:cs="Arial"/>
          <w:sz w:val="22"/>
          <w:szCs w:val="22"/>
        </w:rPr>
        <w:t>bancaseguros</w:t>
      </w:r>
      <w:proofErr w:type="spellEnd"/>
      <w:r>
        <w:rPr>
          <w:rFonts w:ascii="Arial" w:eastAsia="Arial" w:hAnsi="Arial" w:cs="Arial"/>
          <w:sz w:val="22"/>
          <w:szCs w:val="22"/>
        </w:rPr>
        <w:t xml:space="preserve"> entre Allianz y BBVA, comenzó a operar en España en diciembre de 2020. La compañía aúna la capacidad de distribución en canales físicos y digitales de BBVA con el conocimiento de Allianz para desarrollar seguros de No vida simples y digitales. </w:t>
      </w:r>
    </w:p>
    <w:p w14:paraId="0AEE4911" w14:textId="77777777" w:rsidR="00AF2186" w:rsidRDefault="00AF2186">
      <w:pPr>
        <w:spacing w:line="276" w:lineRule="auto"/>
        <w:jc w:val="both"/>
        <w:rPr>
          <w:rFonts w:ascii="Arial" w:eastAsia="Arial" w:hAnsi="Arial" w:cs="Arial"/>
          <w:sz w:val="22"/>
          <w:szCs w:val="22"/>
        </w:rPr>
      </w:pPr>
    </w:p>
    <w:p w14:paraId="0AEE4912" w14:textId="77777777" w:rsidR="00AF2186" w:rsidRDefault="005C0338">
      <w:pPr>
        <w:spacing w:line="276" w:lineRule="auto"/>
        <w:jc w:val="both"/>
        <w:rPr>
          <w:rFonts w:ascii="Arial" w:eastAsia="Arial" w:hAnsi="Arial" w:cs="Arial"/>
          <w:sz w:val="22"/>
          <w:szCs w:val="22"/>
        </w:rPr>
      </w:pPr>
      <w:r>
        <w:rPr>
          <w:rFonts w:ascii="Arial" w:eastAsia="Arial" w:hAnsi="Arial" w:cs="Arial"/>
          <w:sz w:val="22"/>
          <w:szCs w:val="22"/>
        </w:rPr>
        <w:t xml:space="preserve">BBVA Allianz Seguros es fruto de una de las mayores alianzas de </w:t>
      </w:r>
      <w:proofErr w:type="spellStart"/>
      <w:r>
        <w:rPr>
          <w:rFonts w:ascii="Arial" w:eastAsia="Arial" w:hAnsi="Arial" w:cs="Arial"/>
          <w:sz w:val="22"/>
          <w:szCs w:val="22"/>
        </w:rPr>
        <w:t>bancaseguros</w:t>
      </w:r>
      <w:proofErr w:type="spellEnd"/>
      <w:r>
        <w:rPr>
          <w:rFonts w:ascii="Arial" w:eastAsia="Arial" w:hAnsi="Arial" w:cs="Arial"/>
          <w:sz w:val="22"/>
          <w:szCs w:val="22"/>
        </w:rPr>
        <w:t xml:space="preserve"> en el ramo de No Vida, que une a dos líderes globales con prioridades estratégicas comunes. La compañía atiende de forma exclusiva a los clientes de la entidad bancaria en España para productos de No Vida (excluyendo los seguros de salud).</w:t>
      </w:r>
    </w:p>
    <w:p w14:paraId="0AEE4913" w14:textId="77777777" w:rsidR="00AF2186" w:rsidRDefault="00AF2186">
      <w:pPr>
        <w:spacing w:line="276" w:lineRule="auto"/>
        <w:jc w:val="both"/>
        <w:rPr>
          <w:rFonts w:ascii="Arial" w:eastAsia="Arial" w:hAnsi="Arial" w:cs="Arial"/>
          <w:b/>
          <w:sz w:val="18"/>
          <w:szCs w:val="18"/>
        </w:rPr>
      </w:pPr>
    </w:p>
    <w:p w14:paraId="0AEE4917" w14:textId="7362F226" w:rsidR="00AF2186" w:rsidRDefault="00AF2186" w:rsidP="2A68D46D">
      <w:pPr>
        <w:spacing w:line="276" w:lineRule="auto"/>
        <w:jc w:val="both"/>
        <w:rPr>
          <w:rFonts w:ascii="Arial" w:eastAsia="Arial" w:hAnsi="Arial" w:cs="Arial"/>
          <w:sz w:val="18"/>
          <w:szCs w:val="18"/>
        </w:rPr>
      </w:pPr>
    </w:p>
    <w:p w14:paraId="0AEE4918" w14:textId="77777777" w:rsidR="00AF2186" w:rsidRDefault="00AF2186">
      <w:pPr>
        <w:spacing w:line="276" w:lineRule="auto"/>
        <w:ind w:right="425"/>
        <w:jc w:val="both"/>
        <w:rPr>
          <w:rFonts w:ascii="Arial" w:eastAsia="Arial" w:hAnsi="Arial" w:cs="Arial"/>
          <w:sz w:val="22"/>
          <w:szCs w:val="22"/>
        </w:rPr>
      </w:pPr>
    </w:p>
    <w:p w14:paraId="0AEE4919" w14:textId="77777777" w:rsidR="00AF2186" w:rsidRDefault="005C0338">
      <w:pPr>
        <w:pBdr>
          <w:bottom w:val="single" w:sz="6" w:space="1" w:color="000000"/>
        </w:pBdr>
        <w:tabs>
          <w:tab w:val="left" w:pos="567"/>
        </w:tabs>
        <w:spacing w:line="276" w:lineRule="auto"/>
        <w:ind w:right="1418"/>
        <w:jc w:val="both"/>
        <w:rPr>
          <w:rFonts w:ascii="Arial" w:eastAsia="Arial" w:hAnsi="Arial" w:cs="Arial"/>
          <w:b/>
          <w:sz w:val="22"/>
          <w:szCs w:val="22"/>
        </w:rPr>
      </w:pPr>
      <w:r>
        <w:rPr>
          <w:rFonts w:ascii="Arial" w:eastAsia="Arial" w:hAnsi="Arial" w:cs="Arial"/>
          <w:sz w:val="22"/>
          <w:szCs w:val="22"/>
        </w:rPr>
        <w:t>Para más información:</w:t>
      </w:r>
    </w:p>
    <w:p w14:paraId="0AEE491A" w14:textId="30A684FE" w:rsidR="00AF2186" w:rsidRDefault="005C0338">
      <w:pPr>
        <w:keepNext/>
        <w:pBdr>
          <w:bottom w:val="single" w:sz="6" w:space="1" w:color="000000"/>
        </w:pBdr>
        <w:spacing w:line="276" w:lineRule="auto"/>
        <w:ind w:right="1418"/>
        <w:jc w:val="both"/>
        <w:rPr>
          <w:rFonts w:ascii="Arial" w:eastAsia="Arial" w:hAnsi="Arial" w:cs="Arial"/>
          <w:sz w:val="22"/>
          <w:szCs w:val="22"/>
        </w:rPr>
      </w:pPr>
      <w:r>
        <w:rPr>
          <w:rFonts w:ascii="Arial" w:eastAsia="Arial" w:hAnsi="Arial" w:cs="Arial"/>
          <w:sz w:val="22"/>
          <w:szCs w:val="22"/>
        </w:rPr>
        <w:t>Sonia Rodríguez</w:t>
      </w:r>
      <w:r>
        <w:rPr>
          <w:rFonts w:ascii="Arial" w:eastAsia="Arial" w:hAnsi="Arial" w:cs="Arial"/>
          <w:sz w:val="22"/>
          <w:szCs w:val="22"/>
        </w:rPr>
        <w:tab/>
        <w:t>Tel. 91.596.00.66</w:t>
      </w:r>
    </w:p>
    <w:p w14:paraId="0AEE491B" w14:textId="77777777" w:rsidR="00AF2186" w:rsidRDefault="005C0338">
      <w:pPr>
        <w:keepNext/>
        <w:pBdr>
          <w:bottom w:val="single" w:sz="6" w:space="1" w:color="000000"/>
        </w:pBdr>
        <w:spacing w:line="276" w:lineRule="auto"/>
        <w:ind w:right="1418"/>
        <w:jc w:val="both"/>
        <w:rPr>
          <w:rFonts w:ascii="Arial" w:eastAsia="Arial" w:hAnsi="Arial" w:cs="Arial"/>
          <w:sz w:val="22"/>
          <w:szCs w:val="22"/>
        </w:rPr>
      </w:pPr>
      <w:r>
        <w:rPr>
          <w:rFonts w:ascii="Arial" w:eastAsia="Arial" w:hAnsi="Arial" w:cs="Arial"/>
          <w:sz w:val="22"/>
          <w:szCs w:val="22"/>
        </w:rPr>
        <w:t xml:space="preserve">Laura Gallach </w:t>
      </w:r>
      <w:r>
        <w:rPr>
          <w:rFonts w:ascii="Arial" w:eastAsia="Arial" w:hAnsi="Arial" w:cs="Arial"/>
          <w:sz w:val="22"/>
          <w:szCs w:val="22"/>
        </w:rPr>
        <w:tab/>
      </w:r>
      <w:r>
        <w:rPr>
          <w:rFonts w:ascii="Arial" w:eastAsia="Arial" w:hAnsi="Arial" w:cs="Arial"/>
          <w:sz w:val="22"/>
          <w:szCs w:val="22"/>
        </w:rPr>
        <w:tab/>
        <w:t>Tel. 93.228.67.83</w:t>
      </w:r>
    </w:p>
    <w:p w14:paraId="0AEE491C" w14:textId="77777777" w:rsidR="00AF2186" w:rsidRDefault="00AF2186">
      <w:pPr>
        <w:rPr>
          <w:rFonts w:ascii="Arial" w:eastAsia="Arial" w:hAnsi="Arial" w:cs="Arial"/>
          <w:sz w:val="22"/>
          <w:szCs w:val="22"/>
        </w:rPr>
      </w:pPr>
    </w:p>
    <w:p w14:paraId="0AEE491D" w14:textId="77777777" w:rsidR="00AF2186" w:rsidRDefault="00AF2186">
      <w:pPr>
        <w:ind w:right="425"/>
        <w:jc w:val="both"/>
        <w:rPr>
          <w:rFonts w:ascii="Times" w:eastAsia="Times" w:hAnsi="Times" w:cs="Times"/>
        </w:rPr>
      </w:pPr>
    </w:p>
    <w:p w14:paraId="0AEE491E" w14:textId="77777777" w:rsidR="00AF2186" w:rsidRDefault="005C0338">
      <w:pPr>
        <w:ind w:right="141"/>
        <w:rPr>
          <w:rFonts w:ascii="Arial" w:eastAsia="Arial" w:hAnsi="Arial" w:cs="Arial"/>
          <w:sz w:val="22"/>
          <w:szCs w:val="22"/>
        </w:rPr>
      </w:pPr>
      <w:r>
        <w:rPr>
          <w:rFonts w:ascii="Times" w:eastAsia="Times" w:hAnsi="Times" w:cs="Times"/>
          <w:b/>
          <w:sz w:val="18"/>
          <w:szCs w:val="18"/>
        </w:rPr>
        <w:t xml:space="preserve">Estas aseveraciones quedan, como siempre, sujetas a la siguiente </w:t>
      </w:r>
      <w:hyperlink r:id="rId12">
        <w:r>
          <w:rPr>
            <w:rFonts w:ascii="Times" w:eastAsia="Times" w:hAnsi="Times" w:cs="Times"/>
            <w:b/>
            <w:color w:val="0000FF"/>
            <w:sz w:val="18"/>
            <w:szCs w:val="18"/>
            <w:u w:val="single"/>
          </w:rPr>
          <w:t>nota preventiva.</w:t>
        </w:r>
      </w:hyperlink>
    </w:p>
    <w:p w14:paraId="0AEE491F" w14:textId="77777777" w:rsidR="00AF2186" w:rsidRDefault="00AF2186">
      <w:pPr>
        <w:pBdr>
          <w:top w:val="nil"/>
          <w:left w:val="nil"/>
          <w:bottom w:val="nil"/>
          <w:right w:val="nil"/>
          <w:between w:val="nil"/>
        </w:pBdr>
        <w:ind w:right="282"/>
        <w:jc w:val="both"/>
        <w:rPr>
          <w:rFonts w:ascii="Arial" w:eastAsia="Arial" w:hAnsi="Arial" w:cs="Arial"/>
          <w:color w:val="000000"/>
          <w:sz w:val="22"/>
          <w:szCs w:val="22"/>
        </w:rPr>
      </w:pPr>
    </w:p>
    <w:sectPr w:rsidR="00AF2186">
      <w:headerReference w:type="default" r:id="rId13"/>
      <w:headerReference w:type="first" r:id="rId14"/>
      <w:pgSz w:w="11906" w:h="16838"/>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D895E" w14:textId="77777777" w:rsidR="009D0F5F" w:rsidRDefault="009D0F5F">
      <w:r>
        <w:separator/>
      </w:r>
    </w:p>
  </w:endnote>
  <w:endnote w:type="continuationSeparator" w:id="0">
    <w:p w14:paraId="6147EA97" w14:textId="77777777" w:rsidR="009D0F5F" w:rsidRDefault="009D0F5F">
      <w:r>
        <w:continuationSeparator/>
      </w:r>
    </w:p>
  </w:endnote>
  <w:endnote w:type="continuationNotice" w:id="1">
    <w:p w14:paraId="4C0EB6F0" w14:textId="77777777" w:rsidR="009D0F5F" w:rsidRDefault="009D0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8EBD44B4-EBBB-4B98-9D15-0A1CFC39D321}"/>
  </w:font>
  <w:font w:name="Georgia">
    <w:panose1 w:val="02040502050405020303"/>
    <w:charset w:val="00"/>
    <w:family w:val="roman"/>
    <w:pitch w:val="variable"/>
    <w:sig w:usb0="00000287" w:usb1="00000000" w:usb2="00000000" w:usb3="00000000" w:csb0="0000009F" w:csb1="00000000"/>
    <w:embedRegular r:id="rId2" w:fontKey="{7251192B-4ED1-4F96-BD96-2C9F6803D43F}"/>
    <w:embedItalic r:id="rId3" w:fontKey="{F41063BC-0BCC-48B8-A000-0914E7C544B6}"/>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4" w:fontKey="{50C64268-8A9E-4FD3-9F52-E002149631FC}"/>
    <w:embedBold r:id="rId5" w:fontKey="{033771B3-6DD1-4F37-AC97-54760C33B7C3}"/>
  </w:font>
  <w:font w:name="Calibri">
    <w:panose1 w:val="020F0502020204030204"/>
    <w:charset w:val="00"/>
    <w:family w:val="swiss"/>
    <w:pitch w:val="variable"/>
    <w:sig w:usb0="E4002EFF" w:usb1="C000247B" w:usb2="00000009" w:usb3="00000000" w:csb0="000001FF" w:csb1="00000000"/>
    <w:embedRegular r:id="rId6" w:fontKey="{D12E7FE1-EEC7-4486-A126-D65420CB2F1B}"/>
  </w:font>
  <w:font w:name="Helvetica Neue">
    <w:charset w:val="00"/>
    <w:family w:val="auto"/>
    <w:pitch w:val="default"/>
    <w:embedRegular r:id="rId7" w:fontKey="{52DE3D37-D643-4903-AA6A-05EFE003C6F5}"/>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8" w:fontKey="{1C06B155-E0EE-4A9C-8BB2-152768A6EF3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22CA0" w14:textId="77777777" w:rsidR="009D0F5F" w:rsidRDefault="009D0F5F">
      <w:r>
        <w:separator/>
      </w:r>
    </w:p>
  </w:footnote>
  <w:footnote w:type="continuationSeparator" w:id="0">
    <w:p w14:paraId="09CD4698" w14:textId="77777777" w:rsidR="009D0F5F" w:rsidRDefault="009D0F5F">
      <w:r>
        <w:continuationSeparator/>
      </w:r>
    </w:p>
  </w:footnote>
  <w:footnote w:type="continuationNotice" w:id="1">
    <w:p w14:paraId="36C9A644" w14:textId="77777777" w:rsidR="009D0F5F" w:rsidRDefault="009D0F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E4920" w14:textId="77777777" w:rsidR="00AF2186" w:rsidRDefault="005C0338">
    <w:pPr>
      <w:pBdr>
        <w:top w:val="nil"/>
        <w:left w:val="nil"/>
        <w:bottom w:val="nil"/>
        <w:right w:val="nil"/>
        <w:between w:val="nil"/>
      </w:pBdr>
      <w:tabs>
        <w:tab w:val="center" w:pos="4252"/>
        <w:tab w:val="right" w:pos="8504"/>
      </w:tabs>
      <w:rPr>
        <w:color w:val="000000"/>
      </w:rPr>
    </w:pPr>
    <w:r>
      <w:rPr>
        <w:noProof/>
        <w:color w:val="000000"/>
      </w:rPr>
      <mc:AlternateContent>
        <mc:Choice Requires="wps">
          <w:drawing>
            <wp:anchor distT="0" distB="0" distL="114300" distR="114300" simplePos="0" relativeHeight="251658240" behindDoc="0" locked="0" layoutInCell="1" hidden="0" allowOverlap="1" wp14:anchorId="0AEE492A" wp14:editId="0AEE492B">
              <wp:simplePos x="0" y="0"/>
              <wp:positionH relativeFrom="page">
                <wp:posOffset>-4761</wp:posOffset>
              </wp:positionH>
              <wp:positionV relativeFrom="page">
                <wp:posOffset>185738</wp:posOffset>
              </wp:positionV>
              <wp:extent cx="7569835" cy="282575"/>
              <wp:effectExtent l="0" t="0" r="0" b="0"/>
              <wp:wrapNone/>
              <wp:docPr id="4" name="Rectángulo 4"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0AEE4930" w14:textId="77777777" w:rsidR="00AF2186" w:rsidRDefault="005C0338">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0AEE492A" id="Rectángulo 4" o:spid="_x0000_s1026" alt="{&quot;HashCode&quot;:-1284201107,&quot;Height&quot;:841.0,&quot;Width&quot;:595.0,&quot;Placement&quot;:&quot;Header&quot;,&quot;Index&quot;:&quot;Primary&quot;,&quot;Section&quot;:1,&quot;Top&quot;:0.0,&quot;Left&quot;:0.0}" style="position:absolute;margin-left:-.35pt;margin-top:14.65pt;width:596.05pt;height:22.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" filled="f" stroked="f">
              <v:textbox inset="2.53958mm,0,2.53958mm,0">
                <w:txbxContent>
                  <w:p w14:paraId="0AEE4930" w14:textId="77777777" w:rsidR="00AF2186" w:rsidRDefault="005C0338">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E4921" w14:textId="77777777" w:rsidR="00AF2186" w:rsidRDefault="005C0338">
    <w:pPr>
      <w:tabs>
        <w:tab w:val="center" w:pos="4536"/>
        <w:tab w:val="right" w:pos="9072"/>
      </w:tabs>
      <w:jc w:val="right"/>
      <w:rPr>
        <w:rFonts w:ascii="Arial" w:eastAsia="Arial" w:hAnsi="Arial" w:cs="Arial"/>
        <w:sz w:val="28"/>
        <w:szCs w:val="28"/>
      </w:rPr>
    </w:pPr>
    <w:r>
      <w:rPr>
        <w:rFonts w:ascii="Arial" w:eastAsia="Arial" w:hAnsi="Arial" w:cs="Arial"/>
        <w:b/>
        <w:noProof/>
        <w:color w:val="000080"/>
        <w:sz w:val="28"/>
        <w:szCs w:val="28"/>
      </w:rPr>
      <mc:AlternateContent>
        <mc:Choice Requires="wps">
          <w:drawing>
            <wp:anchor distT="0" distB="0" distL="114300" distR="114300" simplePos="0" relativeHeight="251658241" behindDoc="0" locked="0" layoutInCell="1" hidden="0" allowOverlap="1" wp14:anchorId="0AEE492C" wp14:editId="0AEE492D">
              <wp:simplePos x="0" y="0"/>
              <wp:positionH relativeFrom="page">
                <wp:posOffset>-4761</wp:posOffset>
              </wp:positionH>
              <wp:positionV relativeFrom="page">
                <wp:posOffset>185738</wp:posOffset>
              </wp:positionV>
              <wp:extent cx="7569835" cy="282575"/>
              <wp:effectExtent l="0" t="0" r="0" b="0"/>
              <wp:wrapNone/>
              <wp:docPr id="5" name="Rectángulo 5"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0AEE4931" w14:textId="77777777" w:rsidR="00AF2186" w:rsidRDefault="005C0338">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0AEE492C" id="Rectángulo 5" o:spid="_x0000_s1027" alt="{&quot;HashCode&quot;:-1284201107,&quot;Height&quot;:841.0,&quot;Width&quot;:595.0,&quot;Placement&quot;:&quot;Header&quot;,&quot;Index&quot;:&quot;FirstPage&quot;,&quot;Section&quot;:1,&quot;Top&quot;:0.0,&quot;Left&quot;:0.0}" style="position:absolute;left:0;text-align:left;margin-left:-.35pt;margin-top:14.65pt;width:596.05pt;height:22.2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Og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" filled="f" stroked="f">
              <v:textbox inset="2.53958mm,0,2.53958mm,0">
                <w:txbxContent>
                  <w:p w14:paraId="0AEE4931" w14:textId="77777777" w:rsidR="00AF2186" w:rsidRDefault="005C0338">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rFonts w:ascii="Arial" w:eastAsia="Arial" w:hAnsi="Arial" w:cs="Arial"/>
        <w:b/>
        <w:noProof/>
        <w:color w:val="000080"/>
        <w:sz w:val="28"/>
        <w:szCs w:val="28"/>
      </w:rPr>
      <w:drawing>
        <wp:inline distT="0" distB="0" distL="0" distR="0" wp14:anchorId="0AEE492E" wp14:editId="0AEE492F">
          <wp:extent cx="1638300" cy="400050"/>
          <wp:effectExtent l="0" t="0" r="0" b="0"/>
          <wp:docPr id="6" name="image1.jpg" descr="ALLIANZ_logo 100x25mm"/>
          <wp:cNvGraphicFramePr/>
          <a:graphic xmlns:a="http://schemas.openxmlformats.org/drawingml/2006/main">
            <a:graphicData uri="http://schemas.openxmlformats.org/drawingml/2006/picture">
              <pic:pic xmlns:pic="http://schemas.openxmlformats.org/drawingml/2006/picture">
                <pic:nvPicPr>
                  <pic:cNvPr id="0" name="image1.jpg" descr="ALLIANZ_logo 100x25mm"/>
                  <pic:cNvPicPr preferRelativeResize="0"/>
                </pic:nvPicPr>
                <pic:blipFill>
                  <a:blip r:embed="rId1"/>
                  <a:srcRect/>
                  <a:stretch>
                    <a:fillRect/>
                  </a:stretch>
                </pic:blipFill>
                <pic:spPr>
                  <a:xfrm>
                    <a:off x="0" y="0"/>
                    <a:ext cx="1638300" cy="400050"/>
                  </a:xfrm>
                  <a:prstGeom prst="rect">
                    <a:avLst/>
                  </a:prstGeom>
                  <a:ln/>
                </pic:spPr>
              </pic:pic>
            </a:graphicData>
          </a:graphic>
        </wp:inline>
      </w:drawing>
    </w:r>
  </w:p>
  <w:p w14:paraId="0AEE4922" w14:textId="77777777" w:rsidR="00AF2186" w:rsidRDefault="00AF2186">
    <w:pPr>
      <w:rPr>
        <w:rFonts w:ascii="Helvetica Neue" w:eastAsia="Helvetica Neue" w:hAnsi="Helvetica Neue" w:cs="Helvetica Neue"/>
        <w:sz w:val="28"/>
        <w:szCs w:val="28"/>
      </w:rPr>
    </w:pPr>
  </w:p>
  <w:p w14:paraId="0AEE4923" w14:textId="77777777" w:rsidR="00AF2186" w:rsidRDefault="00AF2186">
    <w:pPr>
      <w:rPr>
        <w:rFonts w:ascii="Helvetica Neue" w:eastAsia="Helvetica Neue" w:hAnsi="Helvetica Neue" w:cs="Helvetica Neue"/>
        <w:sz w:val="28"/>
        <w:szCs w:val="28"/>
      </w:rPr>
    </w:pPr>
  </w:p>
  <w:p w14:paraId="0AEE4924" w14:textId="77777777" w:rsidR="00AF2186" w:rsidRDefault="005C0338">
    <w:pPr>
      <w:rPr>
        <w:rFonts w:ascii="Helvetica Neue" w:eastAsia="Helvetica Neue" w:hAnsi="Helvetica Neue" w:cs="Helvetica Neue"/>
        <w:sz w:val="28"/>
        <w:szCs w:val="28"/>
      </w:rPr>
    </w:pPr>
    <w:r>
      <w:rPr>
        <w:rFonts w:ascii="Helvetica Neue" w:eastAsia="Helvetica Neue" w:hAnsi="Helvetica Neue" w:cs="Helvetica Neue"/>
        <w:sz w:val="28"/>
        <w:szCs w:val="28"/>
      </w:rPr>
      <w:t>Allianz Seguros</w:t>
    </w:r>
  </w:p>
  <w:p w14:paraId="0AEE4925" w14:textId="77777777" w:rsidR="00AF2186" w:rsidRDefault="00AF2186">
    <w:pPr>
      <w:tabs>
        <w:tab w:val="center" w:pos="4536"/>
        <w:tab w:val="right" w:pos="9072"/>
      </w:tabs>
      <w:rPr>
        <w:rFonts w:ascii="Arial" w:eastAsia="Arial" w:hAnsi="Arial" w:cs="Arial"/>
        <w:sz w:val="10"/>
        <w:szCs w:val="10"/>
      </w:rPr>
    </w:pPr>
  </w:p>
  <w:p w14:paraId="0AEE4926" w14:textId="77777777" w:rsidR="00AF2186" w:rsidRDefault="005C0338">
    <w:pPr>
      <w:tabs>
        <w:tab w:val="center" w:pos="4536"/>
        <w:tab w:val="right" w:pos="9072"/>
      </w:tabs>
      <w:rPr>
        <w:rFonts w:ascii="Arial" w:eastAsia="Arial" w:hAnsi="Arial" w:cs="Arial"/>
        <w:sz w:val="20"/>
        <w:szCs w:val="20"/>
      </w:rPr>
    </w:pPr>
    <w:r>
      <w:rPr>
        <w:rFonts w:ascii="Arial" w:eastAsia="Arial" w:hAnsi="Arial" w:cs="Arial"/>
        <w:sz w:val="20"/>
        <w:szCs w:val="20"/>
      </w:rPr>
      <w:t>Comunicación Corporativa</w:t>
    </w:r>
  </w:p>
  <w:p w14:paraId="0AEE4927" w14:textId="77777777" w:rsidR="00AF2186" w:rsidRDefault="00AF2186">
    <w:pPr>
      <w:tabs>
        <w:tab w:val="center" w:pos="4536"/>
        <w:tab w:val="right" w:pos="9072"/>
      </w:tabs>
      <w:rPr>
        <w:rFonts w:ascii="Arial" w:eastAsia="Arial" w:hAnsi="Arial" w:cs="Arial"/>
        <w:sz w:val="40"/>
        <w:szCs w:val="40"/>
      </w:rPr>
    </w:pPr>
  </w:p>
  <w:p w14:paraId="0AEE4928" w14:textId="77777777" w:rsidR="00AF2186" w:rsidRDefault="005C0338">
    <w:pPr>
      <w:tabs>
        <w:tab w:val="center" w:pos="4536"/>
        <w:tab w:val="right" w:pos="9072"/>
      </w:tabs>
      <w:rPr>
        <w:rFonts w:ascii="Arial" w:eastAsia="Arial" w:hAnsi="Arial" w:cs="Arial"/>
        <w:color w:val="7F7F7F"/>
        <w:sz w:val="44"/>
        <w:szCs w:val="44"/>
      </w:rPr>
    </w:pPr>
    <w:r>
      <w:rPr>
        <w:rFonts w:ascii="Arial" w:eastAsia="Arial" w:hAnsi="Arial" w:cs="Arial"/>
        <w:color w:val="7F7F7F"/>
        <w:sz w:val="44"/>
        <w:szCs w:val="44"/>
      </w:rPr>
      <w:t>Nota de Prensa</w:t>
    </w:r>
  </w:p>
  <w:p w14:paraId="0AEE4929" w14:textId="77777777" w:rsidR="00AF2186" w:rsidRDefault="00AF2186">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6F65E7"/>
    <w:multiLevelType w:val="multilevel"/>
    <w:tmpl w:val="3708A746"/>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num w:numId="1" w16cid:durableId="512306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186"/>
    <w:rsid w:val="000412C8"/>
    <w:rsid w:val="00063700"/>
    <w:rsid w:val="000E091E"/>
    <w:rsid w:val="000F75CC"/>
    <w:rsid w:val="00146697"/>
    <w:rsid w:val="00180AD9"/>
    <w:rsid w:val="002056D3"/>
    <w:rsid w:val="002454BB"/>
    <w:rsid w:val="00254674"/>
    <w:rsid w:val="00331324"/>
    <w:rsid w:val="003C5367"/>
    <w:rsid w:val="003D2EC0"/>
    <w:rsid w:val="00435609"/>
    <w:rsid w:val="00460F46"/>
    <w:rsid w:val="004804FE"/>
    <w:rsid w:val="004A6F21"/>
    <w:rsid w:val="00503A8D"/>
    <w:rsid w:val="00504A98"/>
    <w:rsid w:val="005055BB"/>
    <w:rsid w:val="00554DD2"/>
    <w:rsid w:val="0058007F"/>
    <w:rsid w:val="005A6BBE"/>
    <w:rsid w:val="005C0338"/>
    <w:rsid w:val="005D75E6"/>
    <w:rsid w:val="0063265D"/>
    <w:rsid w:val="006452DF"/>
    <w:rsid w:val="00673713"/>
    <w:rsid w:val="006B0C91"/>
    <w:rsid w:val="006D2894"/>
    <w:rsid w:val="00712EC0"/>
    <w:rsid w:val="0072549E"/>
    <w:rsid w:val="00755D2D"/>
    <w:rsid w:val="007D333A"/>
    <w:rsid w:val="007E0BE1"/>
    <w:rsid w:val="00807805"/>
    <w:rsid w:val="00826829"/>
    <w:rsid w:val="008452E8"/>
    <w:rsid w:val="00866CAF"/>
    <w:rsid w:val="00882574"/>
    <w:rsid w:val="008A7460"/>
    <w:rsid w:val="00922154"/>
    <w:rsid w:val="00933FA4"/>
    <w:rsid w:val="00941B43"/>
    <w:rsid w:val="009D0F5F"/>
    <w:rsid w:val="00A31A7B"/>
    <w:rsid w:val="00A81A4C"/>
    <w:rsid w:val="00AB1816"/>
    <w:rsid w:val="00AB64D6"/>
    <w:rsid w:val="00AF2186"/>
    <w:rsid w:val="00B15ED4"/>
    <w:rsid w:val="00B316B6"/>
    <w:rsid w:val="00B45095"/>
    <w:rsid w:val="00B71D4B"/>
    <w:rsid w:val="00BB4652"/>
    <w:rsid w:val="00BB67BB"/>
    <w:rsid w:val="00BB7691"/>
    <w:rsid w:val="00BF7892"/>
    <w:rsid w:val="00D2173B"/>
    <w:rsid w:val="00D66542"/>
    <w:rsid w:val="00DB47C4"/>
    <w:rsid w:val="00DD40B0"/>
    <w:rsid w:val="00DF4683"/>
    <w:rsid w:val="00E35621"/>
    <w:rsid w:val="00E878BE"/>
    <w:rsid w:val="00E9060C"/>
    <w:rsid w:val="00E92CA2"/>
    <w:rsid w:val="00EA460B"/>
    <w:rsid w:val="00EF461A"/>
    <w:rsid w:val="00F00192"/>
    <w:rsid w:val="00F413BC"/>
    <w:rsid w:val="00FB3391"/>
    <w:rsid w:val="07CF2025"/>
    <w:rsid w:val="098C0748"/>
    <w:rsid w:val="0DFAC942"/>
    <w:rsid w:val="101C224E"/>
    <w:rsid w:val="10B8EDEC"/>
    <w:rsid w:val="11B7BA5E"/>
    <w:rsid w:val="17DF6708"/>
    <w:rsid w:val="1DBCE494"/>
    <w:rsid w:val="1F3A5DBC"/>
    <w:rsid w:val="20D7791F"/>
    <w:rsid w:val="22087443"/>
    <w:rsid w:val="2296C0A4"/>
    <w:rsid w:val="281AE4F3"/>
    <w:rsid w:val="29FC768C"/>
    <w:rsid w:val="2A68D46D"/>
    <w:rsid w:val="2A81D5B0"/>
    <w:rsid w:val="2AB258BF"/>
    <w:rsid w:val="2D162BAA"/>
    <w:rsid w:val="2D807A23"/>
    <w:rsid w:val="2D9BD3A2"/>
    <w:rsid w:val="2E1666CE"/>
    <w:rsid w:val="2F30A20B"/>
    <w:rsid w:val="3413EC75"/>
    <w:rsid w:val="36419754"/>
    <w:rsid w:val="369FB23C"/>
    <w:rsid w:val="36F814B9"/>
    <w:rsid w:val="37282BEA"/>
    <w:rsid w:val="39CDAA4C"/>
    <w:rsid w:val="3ABEDBAD"/>
    <w:rsid w:val="3ADBC179"/>
    <w:rsid w:val="3C430C74"/>
    <w:rsid w:val="41806AC5"/>
    <w:rsid w:val="45D2F737"/>
    <w:rsid w:val="4838615A"/>
    <w:rsid w:val="4908609E"/>
    <w:rsid w:val="4BB6CA72"/>
    <w:rsid w:val="4C95A32A"/>
    <w:rsid w:val="5157B3E0"/>
    <w:rsid w:val="51F0463B"/>
    <w:rsid w:val="5A9AFC08"/>
    <w:rsid w:val="5D8FE777"/>
    <w:rsid w:val="5E13DA8D"/>
    <w:rsid w:val="60CA9B34"/>
    <w:rsid w:val="6160CC7D"/>
    <w:rsid w:val="633747E3"/>
    <w:rsid w:val="65831338"/>
    <w:rsid w:val="65F041E5"/>
    <w:rsid w:val="660C36CD"/>
    <w:rsid w:val="67710BCF"/>
    <w:rsid w:val="694D08E4"/>
    <w:rsid w:val="6B14DF86"/>
    <w:rsid w:val="6BA75C5C"/>
    <w:rsid w:val="6C2D4AFE"/>
    <w:rsid w:val="6D0F1C38"/>
    <w:rsid w:val="702C18A8"/>
    <w:rsid w:val="7095969C"/>
    <w:rsid w:val="7184210A"/>
    <w:rsid w:val="7242AC67"/>
    <w:rsid w:val="75365E53"/>
    <w:rsid w:val="7579B956"/>
    <w:rsid w:val="7593D2E1"/>
    <w:rsid w:val="77EC93F0"/>
    <w:rsid w:val="79973880"/>
    <w:rsid w:val="7BF7D87D"/>
    <w:rsid w:val="7CF3052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48EF"/>
  <w15:docId w15:val="{F0959269-B9C9-44C5-835E-DD9D7ED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426"/>
  </w:style>
  <w:style w:type="paragraph" w:styleId="Ttulo1">
    <w:name w:val="heading 1"/>
    <w:basedOn w:val="Normal"/>
    <w:link w:val="Ttulo1Car"/>
    <w:uiPriority w:val="9"/>
    <w:qFormat/>
    <w:rsid w:val="008C3426"/>
    <w:pPr>
      <w:spacing w:before="100" w:beforeAutospacing="1" w:after="100" w:afterAutospacing="1"/>
      <w:outlineLvl w:val="0"/>
    </w:pPr>
    <w:rPr>
      <w:b/>
      <w:bCs/>
      <w:color w:val="20B2AA"/>
      <w:kern w:val="36"/>
      <w:sz w:val="36"/>
      <w:szCs w:val="36"/>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link w:val="Ttulo3Car"/>
    <w:uiPriority w:val="9"/>
    <w:semiHidden/>
    <w:unhideWhenUsed/>
    <w:qFormat/>
    <w:rsid w:val="008C3426"/>
    <w:pPr>
      <w:spacing w:before="100" w:beforeAutospacing="1" w:after="100" w:afterAutospacing="1"/>
      <w:outlineLvl w:val="2"/>
    </w:pPr>
    <w:rPr>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8C3426"/>
    <w:rPr>
      <w:rFonts w:ascii="Times New Roman" w:hAnsi="Times New Roman" w:cs="Times New Roman"/>
      <w:b/>
      <w:bCs/>
      <w:color w:val="20B2AA"/>
      <w:kern w:val="36"/>
      <w:sz w:val="36"/>
      <w:szCs w:val="36"/>
      <w:lang w:eastAsia="es-ES"/>
    </w:rPr>
  </w:style>
  <w:style w:type="character" w:customStyle="1" w:styleId="Ttulo3Car">
    <w:name w:val="Título 3 Car"/>
    <w:basedOn w:val="Fuentedeprrafopredeter"/>
    <w:link w:val="Ttulo3"/>
    <w:uiPriority w:val="9"/>
    <w:semiHidden/>
    <w:rsid w:val="008C3426"/>
    <w:rPr>
      <w:rFonts w:ascii="Times New Roman" w:hAnsi="Times New Roman" w:cs="Times New Roman"/>
      <w:b/>
      <w:bCs/>
      <w:sz w:val="27"/>
      <w:szCs w:val="27"/>
      <w:lang w:eastAsia="es-ES"/>
    </w:rPr>
  </w:style>
  <w:style w:type="paragraph" w:styleId="NormalWeb">
    <w:name w:val="Normal (Web)"/>
    <w:basedOn w:val="Normal"/>
    <w:uiPriority w:val="99"/>
    <w:unhideWhenUsed/>
    <w:rsid w:val="008C3426"/>
    <w:pPr>
      <w:spacing w:before="100" w:beforeAutospacing="1" w:after="100" w:afterAutospacing="1" w:line="336" w:lineRule="atLeast"/>
    </w:pPr>
  </w:style>
  <w:style w:type="paragraph" w:customStyle="1" w:styleId="antetitulo">
    <w:name w:val="antetitulo"/>
    <w:basedOn w:val="Normal"/>
    <w:uiPriority w:val="99"/>
    <w:semiHidden/>
    <w:rsid w:val="008C3426"/>
    <w:pPr>
      <w:spacing w:before="100" w:beforeAutospacing="1" w:line="336" w:lineRule="atLeast"/>
    </w:pPr>
    <w:rPr>
      <w:color w:val="5B5A5A"/>
      <w:sz w:val="29"/>
      <w:szCs w:val="29"/>
    </w:rPr>
  </w:style>
  <w:style w:type="paragraph" w:styleId="Encabezado">
    <w:name w:val="header"/>
    <w:basedOn w:val="Normal"/>
    <w:link w:val="EncabezadoCar"/>
    <w:uiPriority w:val="99"/>
    <w:unhideWhenUsed/>
    <w:rsid w:val="009F1C25"/>
    <w:pPr>
      <w:tabs>
        <w:tab w:val="center" w:pos="4252"/>
        <w:tab w:val="right" w:pos="8504"/>
      </w:tabs>
    </w:pPr>
  </w:style>
  <w:style w:type="character" w:customStyle="1" w:styleId="EncabezadoCar">
    <w:name w:val="Encabezado Car"/>
    <w:basedOn w:val="Fuentedeprrafopredeter"/>
    <w:link w:val="Encabezado"/>
    <w:uiPriority w:val="99"/>
    <w:rsid w:val="009F1C25"/>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9F1C25"/>
    <w:pPr>
      <w:tabs>
        <w:tab w:val="center" w:pos="4252"/>
        <w:tab w:val="right" w:pos="8504"/>
      </w:tabs>
    </w:pPr>
  </w:style>
  <w:style w:type="character" w:customStyle="1" w:styleId="PiedepginaCar">
    <w:name w:val="Pie de página Car"/>
    <w:basedOn w:val="Fuentedeprrafopredeter"/>
    <w:link w:val="Piedepgina"/>
    <w:uiPriority w:val="99"/>
    <w:rsid w:val="009F1C25"/>
    <w:rPr>
      <w:rFonts w:ascii="Times New Roman" w:hAnsi="Times New Roman" w:cs="Times New Roman"/>
      <w:sz w:val="24"/>
      <w:szCs w:val="24"/>
      <w:lang w:eastAsia="es-ES"/>
    </w:rPr>
  </w:style>
  <w:style w:type="paragraph" w:styleId="Prrafodelista">
    <w:name w:val="List Paragraph"/>
    <w:basedOn w:val="Normal"/>
    <w:uiPriority w:val="34"/>
    <w:qFormat/>
    <w:rsid w:val="009F1C25"/>
    <w:pPr>
      <w:ind w:left="720"/>
      <w:contextualSpacing/>
    </w:pPr>
  </w:style>
  <w:style w:type="paragraph" w:styleId="Textodeglobo">
    <w:name w:val="Balloon Text"/>
    <w:basedOn w:val="Normal"/>
    <w:link w:val="TextodegloboCar"/>
    <w:uiPriority w:val="99"/>
    <w:semiHidden/>
    <w:unhideWhenUsed/>
    <w:rsid w:val="0074143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1438"/>
    <w:rPr>
      <w:rFonts w:ascii="Segoe UI" w:hAnsi="Segoe UI" w:cs="Segoe UI"/>
      <w:sz w:val="18"/>
      <w:szCs w:val="18"/>
      <w:lang w:eastAsia="es-ES"/>
    </w:rPr>
  </w:style>
  <w:style w:type="character" w:styleId="Refdecomentario">
    <w:name w:val="annotation reference"/>
    <w:basedOn w:val="Fuentedeprrafopredeter"/>
    <w:uiPriority w:val="99"/>
    <w:semiHidden/>
    <w:unhideWhenUsed/>
    <w:rsid w:val="00662F3C"/>
    <w:rPr>
      <w:sz w:val="16"/>
      <w:szCs w:val="16"/>
    </w:rPr>
  </w:style>
  <w:style w:type="paragraph" w:styleId="Textocomentario">
    <w:name w:val="annotation text"/>
    <w:basedOn w:val="Normal"/>
    <w:link w:val="TextocomentarioCar"/>
    <w:uiPriority w:val="99"/>
    <w:unhideWhenUsed/>
    <w:rsid w:val="00662F3C"/>
    <w:rPr>
      <w:sz w:val="20"/>
      <w:szCs w:val="20"/>
    </w:rPr>
  </w:style>
  <w:style w:type="character" w:customStyle="1" w:styleId="TextocomentarioCar">
    <w:name w:val="Texto comentario Car"/>
    <w:basedOn w:val="Fuentedeprrafopredeter"/>
    <w:link w:val="Textocomentario"/>
    <w:uiPriority w:val="99"/>
    <w:rsid w:val="00662F3C"/>
    <w:rPr>
      <w:rFonts w:ascii="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62F3C"/>
    <w:rPr>
      <w:b/>
      <w:bCs/>
    </w:rPr>
  </w:style>
  <w:style w:type="character" w:customStyle="1" w:styleId="AsuntodelcomentarioCar">
    <w:name w:val="Asunto del comentario Car"/>
    <w:basedOn w:val="TextocomentarioCar"/>
    <w:link w:val="Asuntodelcomentario"/>
    <w:uiPriority w:val="99"/>
    <w:semiHidden/>
    <w:rsid w:val="00662F3C"/>
    <w:rPr>
      <w:rFonts w:ascii="Times New Roman" w:hAnsi="Times New Roman" w:cs="Times New Roman"/>
      <w:b/>
      <w:bCs/>
      <w:sz w:val="20"/>
      <w:szCs w:val="20"/>
      <w:lang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n">
    <w:name w:val="Revision"/>
    <w:hidden/>
    <w:uiPriority w:val="99"/>
    <w:semiHidden/>
    <w:rsid w:val="00504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llianz.es/descubre-allianz/actualidad/enlaces-de-inter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ailPreviewData xmlns="9ff07a45-11f5-479e-a441-cd98a86709fe" xsi:nil="true"/>
    <ContractDate xmlns="9ff07a45-11f5-479e-a441-cd98a86709fe" xsi:nil="true"/>
    <DossierOwner xmlns="9ff07a45-11f5-479e-a441-cd98a86709fe">
      <UserInfo>
        <DisplayName>i:0#.f|membership|josephine.whalen@allianz.es,#i:0#.f|membership|josephine.whalen@allianz.es,#josephine.whalen@allianz.es,#,#Whalen, Josephine Jane (Allianz Compania de Seguros y Reaseguros S.A.),#,#Comunicacion y RSC,#</DisplayName>
        <AccountId>815</AccountId>
        <AccountType/>
      </UserInfo>
    </DossierOwner>
    <ContractExpirationDate xmlns="9ff07a45-11f5-479e-a441-cd98a86709fe" xsi:nil="true"/>
    <DocumentSetDescription xmlns="http://schemas.microsoft.com/sharepoint/v3" xsi:nil="true"/>
    <_dlc_DocId xmlns="9ff07a45-11f5-479e-a441-cd98a86709fe">XU7P7SY2DP3Q-491014520-178730</_dlc_DocId>
    <DossierStatus xmlns="9ff07a45-11f5-479e-a441-cd98a86709fe">Abierto</DossierStatus>
    <ContractManagers xmlns="9ff07a45-11f5-479e-a441-cd98a86709fe">
      <UserInfo>
        <DisplayName/>
        <AccountId xsi:nil="true"/>
        <AccountType/>
      </UserInfo>
    </ContractManagers>
    <DocumentClass xmlns="9ff07a45-11f5-479e-a441-cd98a86709fe" xsi:nil="true"/>
    <MaterialContract xmlns="9ff07a45-11f5-479e-a441-cd98a86709fe" xsi:nil="true"/>
    <ContractType xmlns="9ff07a45-11f5-479e-a441-cd98a86709fe" xsi:nil="true"/>
    <TaxCatchAllLabel xmlns="9ff07a45-11f5-479e-a441-cd98a86709fe" xsi:nil="true"/>
    <ContractStatus xmlns="9ff07a45-11f5-479e-a441-cd98a86709fe"/>
    <lcf76f155ced4ddcb4097134ff3c332f xmlns="5d5361cd-dd21-42bb-ace1-e1b72dd4ac82">
      <Terms xmlns="http://schemas.microsoft.com/office/infopath/2007/PartnerControls"/>
    </lcf76f155ced4ddcb4097134ff3c332f>
    <TaxCatchAll xmlns="9ff07a45-11f5-479e-a441-cd98a86709fe" xsi:nil="true"/>
    <ExternalContractingParties xmlns="9ff07a45-11f5-479e-a441-cd98a86709fe" xsi:nil="true"/>
    <PlaceOfOriginal xmlns="9ff07a45-11f5-479e-a441-cd98a86709fe" xsi:nil="true"/>
    <OutsourcingAgreement xmlns="9ff07a45-11f5-479e-a441-cd98a86709fe" xsi:nil="true"/>
    <l6856d4619ce496882360609f9fc1dec xmlns="9ff07a45-11f5-479e-a441-cd98a86709fe">
      <Terms xmlns="http://schemas.microsoft.com/office/infopath/2007/PartnerControls"/>
    </l6856d4619ce496882360609f9fc1dec>
    <nd762d5e82fb490792aa88eaddbb89ea xmlns="9ff07a45-11f5-479e-a441-cd98a86709fe">
      <Terms xmlns="http://schemas.microsoft.com/office/infopath/2007/PartnerControls"/>
    </nd762d5e82fb490792aa88eaddbb89ea>
    <_dlc_DocIdPersistId xmlns="9ff07a45-11f5-479e-a441-cd98a86709fe" xsi:nil="true"/>
    <_dlc_DocIdUrl xmlns="9ff07a45-11f5-479e-a441-cd98a86709fe">
      <Url>https://allianzms.sharepoint.com/teams/ES0006-3163019/_layouts/15/DocIdRedir.aspx?ID=XU7P7SY2DP3Q-491014520-178730</Url>
      <Description>XU7P7SY2DP3Q-491014520-178730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5" ma:contentTypeDescription="Contenido no relevante." ma:contentTypeScope="" ma:versionID="3296f662732ee86f6436367ea6ca9fb8">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480253013d9bd48da003201027092f33"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eRUZAfOuQLdR1dBuVe7FcJKhZA==">CgMxLjA4AHIhMURPVGlCMVRDNzZVSTRGbjVKZHRaS3FhV2Rza3ZvZ3Qz</go:docsCustomData>
</go:gDocsCustomXmlDataStorag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1797F89-8ECD-4469-B2F7-D2BBD482405C}">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2.xml><?xml version="1.0" encoding="utf-8"?>
<ds:datastoreItem xmlns:ds="http://schemas.openxmlformats.org/officeDocument/2006/customXml" ds:itemID="{2C13873E-F1CB-4DF9-B3C8-1402688C6456}">
  <ds:schemaRefs>
    <ds:schemaRef ds:uri="http://schemas.microsoft.com/sharepoint/v3/contenttype/forms"/>
  </ds:schemaRefs>
</ds:datastoreItem>
</file>

<file path=customXml/itemProps3.xml><?xml version="1.0" encoding="utf-8"?>
<ds:datastoreItem xmlns:ds="http://schemas.openxmlformats.org/officeDocument/2006/customXml" ds:itemID="{76C53815-87FF-411A-A055-87955891E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4C6C73E0-B964-4921-8EDA-1AAB8830F92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5057</Characters>
  <Application>Microsoft Office Word</Application>
  <DocSecurity>0</DocSecurity>
  <Lines>42</Lines>
  <Paragraphs>11</Paragraphs>
  <ScaleCrop>false</ScaleCrop>
  <Company/>
  <LinksUpToDate>false</LinksUpToDate>
  <CharactersWithSpaces>5965</CharactersWithSpaces>
  <SharedDoc>false</SharedDoc>
  <HLinks>
    <vt:vector size="6" baseType="variant">
      <vt:variant>
        <vt:i4>4390933</vt:i4>
      </vt:variant>
      <vt:variant>
        <vt:i4>0</vt:i4>
      </vt:variant>
      <vt:variant>
        <vt:i4>0</vt:i4>
      </vt:variant>
      <vt:variant>
        <vt:i4>5</vt:i4>
      </vt:variant>
      <vt:variant>
        <vt:lpwstr>https://www.allianz.es/descubre-allianz/actualidad/enlaces-de-interes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cp:lastModifiedBy>Rodriguez Mosquera, Sonia (Allianz Compania de Seguros y Reaseguros S.A.)</cp:lastModifiedBy>
  <cp:revision>2</cp:revision>
  <dcterms:created xsi:type="dcterms:W3CDTF">2024-05-09T09:40:00Z</dcterms:created>
  <dcterms:modified xsi:type="dcterms:W3CDTF">2024-05-09T09:40:00Z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6012019095808">
    <vt:lpwstr>16012019095808;E105254;0</vt:lpwstr>
  </property>
  <property fmtid="{D5CDD505-2E9C-101B-9397-08002B2CF9AE}" pid="4" name="OfficeDocumentSecurity_21012019094608">
    <vt:lpwstr>21012019094608;E105254;0</vt:lpwstr>
  </property>
  <property fmtid="{D5CDD505-2E9C-101B-9397-08002B2CF9AE}" pid="5" name="OfficeDocumentSecurity_21012019100750">
    <vt:lpwstr>21012019100750;E105254;0</vt:lpwstr>
  </property>
  <property fmtid="{D5CDD505-2E9C-101B-9397-08002B2CF9AE}" pid="6" name="OfficeDocumentSecurity_21012019101750">
    <vt:lpwstr>21012019101750;E105254;0</vt:lpwstr>
  </property>
  <property fmtid="{D5CDD505-2E9C-101B-9397-08002B2CF9AE}" pid="7" name="OfficeDocumentSecurity_21012019102021">
    <vt:lpwstr>21012019102021;E105254;0</vt:lpwstr>
  </property>
  <property fmtid="{D5CDD505-2E9C-101B-9397-08002B2CF9AE}" pid="8" name="OfficeDocumentSecurity_21012019102751">
    <vt:lpwstr>21012019102751;E105254;0</vt:lpwstr>
  </property>
  <property fmtid="{D5CDD505-2E9C-101B-9397-08002B2CF9AE}" pid="9" name="OfficeDocumentSecurity_21012019103758">
    <vt:lpwstr>21012019103758;E105254;0</vt:lpwstr>
  </property>
  <property fmtid="{D5CDD505-2E9C-101B-9397-08002B2CF9AE}" pid="10" name="OfficeDocumentSecurity_21012019104926">
    <vt:lpwstr>21012019104926;E105254;0</vt:lpwstr>
  </property>
  <property fmtid="{D5CDD505-2E9C-101B-9397-08002B2CF9AE}" pid="11" name="OfficeDocumentSecurity_21012019105136">
    <vt:lpwstr>21012019105136;E105254;0</vt:lpwstr>
  </property>
  <property fmtid="{D5CDD505-2E9C-101B-9397-08002B2CF9AE}" pid="12" name="OfficeDocumentSecurity_21012019105304">
    <vt:lpwstr>21012019105304;E105254;0</vt:lpwstr>
  </property>
  <property fmtid="{D5CDD505-2E9C-101B-9397-08002B2CF9AE}" pid="13" name="OfficeDocumentSecurity_21012019110458">
    <vt:lpwstr>21012019110458;E105254;0</vt:lpwstr>
  </property>
  <property fmtid="{D5CDD505-2E9C-101B-9397-08002B2CF9AE}" pid="14" name="OfficeDocumentSecurity_21012019112202">
    <vt:lpwstr>21012019112202;E105254;0</vt:lpwstr>
  </property>
  <property fmtid="{D5CDD505-2E9C-101B-9397-08002B2CF9AE}" pid="15" name="OfficeDocumentSecurity_21012019113205">
    <vt:lpwstr>21012019113205;E105254;0</vt:lpwstr>
  </property>
  <property fmtid="{D5CDD505-2E9C-101B-9397-08002B2CF9AE}" pid="16" name="OfficeDocumentSecurity_21012019113354">
    <vt:lpwstr>21012019113354;E105254;0</vt:lpwstr>
  </property>
  <property fmtid="{D5CDD505-2E9C-101B-9397-08002B2CF9AE}" pid="17" name="OfficeDocumentSecurity_21012019113546">
    <vt:lpwstr>21012019113546;E105254;0</vt:lpwstr>
  </property>
  <property fmtid="{D5CDD505-2E9C-101B-9397-08002B2CF9AE}" pid="18" name="OfficeDocumentSecurity_21012019113807">
    <vt:lpwstr>21012019113807;E105254;0</vt:lpwstr>
  </property>
  <property fmtid="{D5CDD505-2E9C-101B-9397-08002B2CF9AE}" pid="19" name="OfficeDocumentSecurity_21012019115001">
    <vt:lpwstr>21012019115001;E105254;0</vt:lpwstr>
  </property>
  <property fmtid="{D5CDD505-2E9C-101B-9397-08002B2CF9AE}" pid="20" name="OfficeDocumentSecurity_21012019115439">
    <vt:lpwstr>21012019115439;E105254;0</vt:lpwstr>
  </property>
  <property fmtid="{D5CDD505-2E9C-101B-9397-08002B2CF9AE}" pid="21" name="OfficeDocumentSecurity_21012019120247">
    <vt:lpwstr>21012019120247;E105254;0</vt:lpwstr>
  </property>
  <property fmtid="{D5CDD505-2E9C-101B-9397-08002B2CF9AE}" pid="22" name="OfficeDocumentSecurity_21012019121959">
    <vt:lpwstr>21012019121959;E105254;0</vt:lpwstr>
  </property>
  <property fmtid="{D5CDD505-2E9C-101B-9397-08002B2CF9AE}" pid="23" name="OfficeDocumentSecurity_21012019124830">
    <vt:lpwstr>21012019124830;E105254;0</vt:lpwstr>
  </property>
  <property fmtid="{D5CDD505-2E9C-101B-9397-08002B2CF9AE}" pid="24" name="OfficeDocumentSecurity_21012019124915">
    <vt:lpwstr>21012019124915;E105254;0</vt:lpwstr>
  </property>
  <property fmtid="{D5CDD505-2E9C-101B-9397-08002B2CF9AE}" pid="25" name="OfficeDocumentSecurity_21012019124935">
    <vt:lpwstr>21012019124935;E105254;0</vt:lpwstr>
  </property>
  <property fmtid="{D5CDD505-2E9C-101B-9397-08002B2CF9AE}" pid="26" name="OfficeDocumentSecurity_21012019125147">
    <vt:lpwstr>21012019125147;E105254;0</vt:lpwstr>
  </property>
  <property fmtid="{D5CDD505-2E9C-101B-9397-08002B2CF9AE}" pid="27" name="OfficeDocumentSecurity_21012019125836">
    <vt:lpwstr>21012019125836;E105254;0</vt:lpwstr>
  </property>
  <property fmtid="{D5CDD505-2E9C-101B-9397-08002B2CF9AE}" pid="28" name="OfficeDocumentSecurity_21012019125935">
    <vt:lpwstr>21012019125935;E105254;0</vt:lpwstr>
  </property>
  <property fmtid="{D5CDD505-2E9C-101B-9397-08002B2CF9AE}" pid="29" name="OfficeDocumentSecurity_21012019130231">
    <vt:lpwstr>21012019130231;E105254;0</vt:lpwstr>
  </property>
  <property fmtid="{D5CDD505-2E9C-101B-9397-08002B2CF9AE}" pid="30" name="OfficeDocumentSecurity_21012019130633">
    <vt:lpwstr>21012019130633;E105254;0</vt:lpwstr>
  </property>
  <property fmtid="{D5CDD505-2E9C-101B-9397-08002B2CF9AE}" pid="31" name="OfficeDocumentSecurity_21012019130739">
    <vt:lpwstr>21012019130739;E105254;0</vt:lpwstr>
  </property>
  <property fmtid="{D5CDD505-2E9C-101B-9397-08002B2CF9AE}" pid="32" name="OfficeDocumentSecurity_22012019125648">
    <vt:lpwstr>22012019125648;E105254;0</vt:lpwstr>
  </property>
  <property fmtid="{D5CDD505-2E9C-101B-9397-08002B2CF9AE}" pid="33" name="OfficeDocumentSecurity_28012019133158">
    <vt:lpwstr>28012019133158;e006418;0</vt:lpwstr>
  </property>
  <property fmtid="{D5CDD505-2E9C-101B-9397-08002B2CF9AE}" pid="34" name="OfficeDocumentSecurity_28012019134158">
    <vt:lpwstr>28012019134158;e006418;0</vt:lpwstr>
  </property>
  <property fmtid="{D5CDD505-2E9C-101B-9397-08002B2CF9AE}" pid="35" name="OfficeDocumentSecurity_28012019134454">
    <vt:lpwstr>28012019134454;e006418;0</vt:lpwstr>
  </property>
  <property fmtid="{D5CDD505-2E9C-101B-9397-08002B2CF9AE}" pid="36" name="ContentTypeId">
    <vt:lpwstr>0x010100125D78925D459C4792E0AB097CA57A8700468EE264CD9B964F9956379036DA5620</vt:lpwstr>
  </property>
  <property fmtid="{D5CDD505-2E9C-101B-9397-08002B2CF9AE}" pid="37" name="MediaServiceImageTags">
    <vt:lpwstr/>
  </property>
  <property fmtid="{D5CDD505-2E9C-101B-9397-08002B2CF9AE}" pid="38" name="_dlc_DocIdItemGuid">
    <vt:lpwstr>ca3df70e-01ce-445e-b5a4-b0aa187f471a</vt:lpwstr>
  </property>
  <property fmtid="{D5CDD505-2E9C-101B-9397-08002B2CF9AE}" pid="39" name="DossierDepartment">
    <vt:lpwstr/>
  </property>
  <property fmtid="{D5CDD505-2E9C-101B-9397-08002B2CF9AE}" pid="40" name="AllianzContractingParties">
    <vt:lpwstr/>
  </property>
  <property fmtid="{D5CDD505-2E9C-101B-9397-08002B2CF9AE}" pid="41" name="Contract_Type">
    <vt:lpwstr/>
  </property>
  <property fmtid="{D5CDD505-2E9C-101B-9397-08002B2CF9AE}" pid="42" name="b0fe84444e894ab98172082a3d0e58f8">
    <vt:lpwstr/>
  </property>
  <property fmtid="{D5CDD505-2E9C-101B-9397-08002B2CF9AE}" pid="43" name="Document_Class">
    <vt:lpwstr/>
  </property>
  <property fmtid="{D5CDD505-2E9C-101B-9397-08002B2CF9AE}" pid="44" name="iccd162ff52447b49ab8f5fd8f2cec1e">
    <vt:lpwstr/>
  </property>
  <property fmtid="{D5CDD505-2E9C-101B-9397-08002B2CF9AE}" pid="45" name="MSIP_Label_863bc15e-e7bf-41c1-bdb3-03882d8a2e2c_Enabled">
    <vt:lpwstr>true</vt:lpwstr>
  </property>
  <property fmtid="{D5CDD505-2E9C-101B-9397-08002B2CF9AE}" pid="46" name="MSIP_Label_863bc15e-e7bf-41c1-bdb3-03882d8a2e2c_SetDate">
    <vt:lpwstr>2023-04-11T13:49:04Z</vt:lpwstr>
  </property>
  <property fmtid="{D5CDD505-2E9C-101B-9397-08002B2CF9AE}" pid="47" name="MSIP_Label_863bc15e-e7bf-41c1-bdb3-03882d8a2e2c_Method">
    <vt:lpwstr>Privileged</vt:lpwstr>
  </property>
  <property fmtid="{D5CDD505-2E9C-101B-9397-08002B2CF9AE}" pid="48" name="MSIP_Label_863bc15e-e7bf-41c1-bdb3-03882d8a2e2c_Name">
    <vt:lpwstr>863bc15e-e7bf-41c1-bdb3-03882d8a2e2c</vt:lpwstr>
  </property>
  <property fmtid="{D5CDD505-2E9C-101B-9397-08002B2CF9AE}" pid="49" name="MSIP_Label_863bc15e-e7bf-41c1-bdb3-03882d8a2e2c_SiteId">
    <vt:lpwstr>6e06e42d-6925-47c6-b9e7-9581c7ca302a</vt:lpwstr>
  </property>
  <property fmtid="{D5CDD505-2E9C-101B-9397-08002B2CF9AE}" pid="50" name="MSIP_Label_863bc15e-e7bf-41c1-bdb3-03882d8a2e2c_ActionId">
    <vt:lpwstr>70ed64e4-31d4-4f2a-a2e7-5250083cc436</vt:lpwstr>
  </property>
  <property fmtid="{D5CDD505-2E9C-101B-9397-08002B2CF9AE}" pid="51" name="MSIP_Label_863bc15e-e7bf-41c1-bdb3-03882d8a2e2c_ContentBits">
    <vt:lpwstr>1</vt:lpwstr>
  </property>
</Properties>
</file>