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305EA" w:rsidR="00230132" w:rsidP="00BA3CBC" w:rsidRDefault="00660C0C" w14:paraId="1A5F5D84" w14:textId="17BDB96A">
      <w:pPr>
        <w:pStyle w:val="AZ-PCompany"/>
      </w:pPr>
      <w:r w:rsidRPr="007305EA">
        <w:t>ALLIANZ S</w:t>
      </w:r>
      <w:r w:rsidRPr="007305EA" w:rsidR="0034286C">
        <w:t>EGUROS</w:t>
      </w:r>
      <w:r w:rsidRPr="007305EA">
        <w:t xml:space="preserve"> | </w:t>
      </w:r>
      <w:r w:rsidRPr="007305EA" w:rsidR="0034286C">
        <w:t>COMUNICACIÓN CORPORATIVA</w:t>
      </w:r>
    </w:p>
    <w:p w:rsidRPr="007305EA" w:rsidR="00592898" w:rsidP="003236DD" w:rsidRDefault="0034286C" w14:paraId="57934361" w14:textId="07EBB79A">
      <w:pPr>
        <w:pStyle w:val="StyleHeading1"/>
      </w:pPr>
      <w:r w:rsidRPr="7EEAA54C" w:rsidR="0034286C">
        <w:rPr>
          <w:color w:val="13A0D3" w:themeColor="accent4" w:themeTint="FF" w:themeShade="FF"/>
        </w:rPr>
        <w:t>Nota de prensa</w:t>
      </w:r>
      <w:r w:rsidRPr="7EEAA54C" w:rsidR="00660C0C">
        <w:rPr>
          <w:color w:val="13A0D3" w:themeColor="accent4" w:themeTint="FF" w:themeShade="FF"/>
        </w:rPr>
        <w:t xml:space="preserve">: </w:t>
      </w:r>
      <w:r w:rsidR="00562190">
        <w:rPr/>
        <w:t xml:space="preserve">Allianz y </w:t>
      </w:r>
      <w:r w:rsidR="4C6379B4">
        <w:rPr/>
        <w:t>expertos en emergencias</w:t>
      </w:r>
      <w:r w:rsidR="00562190">
        <w:rPr/>
        <w:t xml:space="preserve"> </w:t>
      </w:r>
      <w:r w:rsidR="00562190">
        <w:rPr/>
        <w:t>impulsan nuevas estrategias de prevención tras los incendios forestales de 2026</w:t>
      </w:r>
    </w:p>
    <w:sdt>
      <w:sdtPr>
        <w:alias w:val="Veröffentlichungsdatum"/>
        <w:tag w:val=""/>
        <w:id w:val="-492718318"/>
        <w:dataBinding w:prefixMappings="xmlns:ns0='http://schemas.microsoft.com/office/2006/coverPageProps' " w:xpath="/ns0:CoverPageProperties[1]/ns0:PublishDate[1]" w:storeItemID="{55AF091B-3C7A-41E3-B477-F2FDAA23CFDA}"/>
        <w:date>
          <w:dateFormat w:val="d MMMM yyyy"/>
          <w:lid w:val="de-DE"/>
          <w:storeMappedDataAs w:val="dateTime"/>
          <w:calendar w:val="gregorian"/>
        </w:date>
      </w:sdtPr>
      <w:sdtEndPr/>
      <w:sdtContent>
        <w:p w:rsidRPr="007305EA" w:rsidR="00083FD4" w:rsidP="00685E57" w:rsidRDefault="008C4E9B" w14:paraId="478CC371" w14:textId="74147783">
          <w:pPr>
            <w:pStyle w:val="AZ-PDate"/>
            <w:framePr w:wrap="around"/>
          </w:pPr>
          <w:r>
            <w:t>01 Octubre</w:t>
          </w:r>
          <w:r w:rsidRPr="00562190" w:rsidR="009A7429">
            <w:t xml:space="preserve"> 2026</w:t>
          </w:r>
        </w:p>
      </w:sdtContent>
    </w:sdt>
    <w:sdt>
      <w:sdtPr>
        <w:alias w:val="Firmenadresse"/>
        <w:tag w:val=""/>
        <w:id w:val="-1798450592"/>
        <w:placeholder>
          <w:docPart w:val="E7C3E0BF40AB4F609A145EB81F54600E"/>
        </w:placeholder>
        <w:dataBinding w:prefixMappings="xmlns:ns0='http://schemas.microsoft.com/office/2006/coverPageProps' " w:xpath="/ns0:CoverPageProperties[1]/ns0:CompanyAddress[1]" w:storeItemID="{55AF091B-3C7A-41E3-B477-F2FDAA23CFDA}"/>
        <w:text/>
      </w:sdtPr>
      <w:sdtEndPr/>
      <w:sdtContent>
        <w:p w:rsidRPr="007305EA" w:rsidR="001517EB" w:rsidP="00497F68" w:rsidRDefault="0034286C" w14:paraId="7E32B2C5" w14:textId="7383DFBD">
          <w:pPr>
            <w:pStyle w:val="AZ-PDate2"/>
            <w:framePr w:wrap="around"/>
          </w:pPr>
          <w:r w:rsidRPr="007305EA">
            <w:t>Madrid</w:t>
          </w:r>
        </w:p>
      </w:sdtContent>
    </w:sdt>
    <w:p w:rsidR="0085702B" w:rsidP="0085702B" w:rsidRDefault="0085702B" w14:paraId="0AB92097" w14:textId="77777777">
      <w:pPr>
        <w:pStyle w:val="AZ-PList"/>
      </w:pPr>
      <w:r>
        <w:t>La jornada "Lecciones aprendidas de los incendios forestales de 2026", organizada por la Asociación Profesional de Técnicos de Bomberos (APTB) con la colaboración de Allianz y el Ayuntamiento de Madrid, reunió a cerca de cien profesionales de emergencias de toda España.</w:t>
      </w:r>
    </w:p>
    <w:p w:rsidR="00EE4210" w:rsidP="00EE4210" w:rsidRDefault="00EE4210" w14:paraId="351E88D8" w14:textId="77777777">
      <w:pPr>
        <w:pStyle w:val="AZ-PList"/>
        <w:numPr>
          <w:ilvl w:val="0"/>
          <w:numId w:val="0"/>
        </w:numPr>
        <w:ind w:left="170"/>
      </w:pPr>
    </w:p>
    <w:p w:rsidR="0085702B" w:rsidP="0085702B" w:rsidRDefault="0085702B" w14:paraId="305AF048" w14:textId="48CB2A32">
      <w:pPr>
        <w:pStyle w:val="AZ-PList"/>
      </w:pPr>
      <w:r>
        <w:t>Los expertos destacaron la anticipación, la coordinación de servicios de emergencia y el refuerzo de la información y autoprotección ciudadana como prioridades clave.</w:t>
      </w:r>
    </w:p>
    <w:p w:rsidR="0085702B" w:rsidP="00EE4210" w:rsidRDefault="0085702B" w14:paraId="2BC0C1B7" w14:textId="77777777">
      <w:pPr>
        <w:pStyle w:val="AZ-PList"/>
        <w:numPr>
          <w:ilvl w:val="0"/>
          <w:numId w:val="0"/>
        </w:numPr>
        <w:ind w:left="170"/>
      </w:pPr>
    </w:p>
    <w:p w:rsidRPr="007305EA" w:rsidR="007305EA" w:rsidP="0085702B" w:rsidRDefault="0085702B" w14:paraId="7F02ECDD" w14:textId="748395FB">
      <w:pPr>
        <w:pStyle w:val="AZ-PList"/>
      </w:pPr>
      <w:r>
        <w:t>Allianz presentó los resultados de Satellites on Fire: más de 1,2 millones de comunicaciones preventivas enviadas a clientes potencialmente expuestos a incendios durante el verano de 2026.</w:t>
      </w:r>
    </w:p>
    <w:p w:rsidRPr="007305EA" w:rsidR="00E56C66" w:rsidP="0034286C" w:rsidRDefault="00E56C66" w14:paraId="2A2651CE" w14:textId="4D3D94BF">
      <w:pPr>
        <w:pStyle w:val="AZ-PList"/>
        <w:numPr>
          <w:ilvl w:val="0"/>
          <w:numId w:val="0"/>
        </w:numPr>
      </w:pPr>
    </w:p>
    <w:p w:rsidR="007161F9" w:rsidP="007161F9" w:rsidRDefault="007161F9" w14:paraId="57579FA2" w14:textId="77777777">
      <w:r>
        <w:t>Allianz Seguros avanza en su estrategia de prevención y anticipación frente a incendios forestales. La aseguradora ha colaborado con la Asociación Profesional de Técnicos de Bomberos (APTB) y el Ayuntamiento de Madrid en la jornada "Lecciones aprendidas de los incendios forestales de 2026". El evento reunió en Madrid a cerca de cien profesionales especializados en prevención y gestión de emergencias procedentes de toda España.</w:t>
      </w:r>
    </w:p>
    <w:p w:rsidR="007161F9" w:rsidP="007161F9" w:rsidRDefault="007161F9" w14:paraId="5793F6B9" w14:textId="77777777"/>
    <w:p w:rsidR="007161F9" w:rsidP="007161F9" w:rsidRDefault="007161F9" w14:paraId="626CEE1F" w14:textId="77777777">
      <w:r>
        <w:t>El encuentro analizó las principales lecciones de una temporada marcada por grandes incendios forestales. Los participantes coincidieron en la necesidad de avanzar hacia un modelo que priorice la prevención y la anticipación, complementando la capacidad de respuesta y extinción ante emergencias cada vez más complejas.</w:t>
      </w:r>
    </w:p>
    <w:p w:rsidR="007161F9" w:rsidP="007161F9" w:rsidRDefault="007161F9" w14:paraId="07F81014" w14:textId="77777777"/>
    <w:p w:rsidRPr="009B32F6" w:rsidR="007161F9" w:rsidP="007161F9" w:rsidRDefault="007161F9" w14:paraId="528D898F" w14:textId="77777777">
      <w:pPr>
        <w:rPr>
          <w:b/>
          <w:bCs/>
        </w:rPr>
      </w:pPr>
      <w:r w:rsidRPr="009B32F6">
        <w:rPr>
          <w:b/>
          <w:bCs/>
        </w:rPr>
        <w:t>Temas clave: coordinación, vulnerabilidad y autoprotección</w:t>
      </w:r>
    </w:p>
    <w:p w:rsidR="009B32F6" w:rsidP="007161F9" w:rsidRDefault="009B32F6" w14:paraId="4F53CD81" w14:textId="77777777"/>
    <w:p w:rsidR="007161F9" w:rsidP="007161F9" w:rsidRDefault="007161F9" w14:paraId="1AE318EE" w14:textId="77777777">
      <w:r>
        <w:t>La jornada abordó cuestiones prioritarias para la gestión de incendios forestales:</w:t>
      </w:r>
    </w:p>
    <w:p w:rsidRPr="00343098" w:rsidR="007161F9" w:rsidP="007161F9" w:rsidRDefault="007161F9" w14:paraId="15401E1B" w14:textId="77777777"/>
    <w:p w:rsidRPr="00343098" w:rsidR="007161F9" w:rsidP="009B32F6" w:rsidRDefault="007161F9" w14:paraId="57CFBBC3" w14:textId="77777777">
      <w:pPr>
        <w:pStyle w:val="Prrafodelista"/>
        <w:numPr>
          <w:ilvl w:val="0"/>
          <w:numId w:val="5"/>
        </w:numPr>
        <w:rPr>
          <w:color w:val="auto"/>
        </w:rPr>
      </w:pPr>
      <w:r w:rsidRPr="00343098">
        <w:rPr>
          <w:color w:val="auto"/>
        </w:rPr>
        <w:t>Coordinación de servicios de emergencia ante incendios de nueva generación.</w:t>
      </w:r>
    </w:p>
    <w:p w:rsidRPr="00343098" w:rsidR="007161F9" w:rsidP="009B32F6" w:rsidRDefault="007161F9" w14:paraId="57630C64" w14:textId="77777777">
      <w:pPr>
        <w:pStyle w:val="Prrafodelista"/>
        <w:numPr>
          <w:ilvl w:val="0"/>
          <w:numId w:val="5"/>
        </w:numPr>
        <w:rPr>
          <w:color w:val="auto"/>
        </w:rPr>
      </w:pPr>
      <w:r w:rsidRPr="00343098">
        <w:rPr>
          <w:color w:val="auto"/>
        </w:rPr>
        <w:t>Gestión de evacuaciones y confinamientos de grandes grupos de población.</w:t>
      </w:r>
    </w:p>
    <w:p w:rsidRPr="00343098" w:rsidR="007161F9" w:rsidP="009B32F6" w:rsidRDefault="007161F9" w14:paraId="0DDF4F64" w14:textId="77777777">
      <w:pPr>
        <w:pStyle w:val="Prrafodelista"/>
        <w:numPr>
          <w:ilvl w:val="0"/>
          <w:numId w:val="5"/>
        </w:numPr>
        <w:rPr>
          <w:color w:val="auto"/>
        </w:rPr>
      </w:pPr>
      <w:r w:rsidRPr="00343098">
        <w:rPr>
          <w:color w:val="auto"/>
        </w:rPr>
        <w:t>Vulnerabilidad de zonas de interfaz urbano-forestal, donde viviendas y núcleos de población colindan con masas forestales.</w:t>
      </w:r>
    </w:p>
    <w:p w:rsidR="007161F9" w:rsidP="009B32F6" w:rsidRDefault="007161F9" w14:paraId="4AF57ADB" w14:textId="77777777">
      <w:pPr>
        <w:pStyle w:val="Prrafodelista"/>
        <w:numPr>
          <w:ilvl w:val="0"/>
          <w:numId w:val="5"/>
        </w:numPr>
      </w:pPr>
      <w:r w:rsidRPr="00343098">
        <w:rPr>
          <w:color w:val="auto"/>
        </w:rPr>
        <w:t>Formación, información y autoprotección ciudadana como pilares de la prevención</w:t>
      </w:r>
      <w:r>
        <w:t>.</w:t>
      </w:r>
    </w:p>
    <w:p w:rsidR="009B32F6" w:rsidP="007161F9" w:rsidRDefault="009B32F6" w14:paraId="532C06BA" w14:textId="77777777"/>
    <w:p w:rsidR="007161F9" w:rsidP="007161F9" w:rsidRDefault="007161F9" w14:paraId="467700FE" w14:textId="494ABC71">
      <w:r>
        <w:t>Entre los asistentes participaron representantes de servicios de bomberos y emergencias de distintas comunidades autónomas, universidades, colegios profesionales, servicios sanitarios, Protección Civil y la Unidad Militar de Emergencias.</w:t>
      </w:r>
    </w:p>
    <w:p w:rsidR="007161F9" w:rsidP="007161F9" w:rsidRDefault="007161F9" w14:paraId="5E6DFD84" w14:textId="77777777"/>
    <w:p w:rsidR="007161F9" w:rsidP="007161F9" w:rsidRDefault="007161F9" w14:paraId="3CA3AAB6" w14:textId="77777777">
      <w:r>
        <w:t>También intervinieron Carlos Novillo, consejero de Medio Ambiente, Agricultura e Interior de la Comunidad de Madrid; Pedro Ruiz, director general de la Agencia de Seguridad y Emergencias Madrid 112; Manuel Orgaz, director general de Bomberos del Ayuntamiento de Madrid; Carlos Marín de la Bárcena, jefe de Bomberos del Ayuntamiento de Madrid; y Olivia Loewe, Chief Corporate Affairs &amp; Sustainability Officer de Allianz.</w:t>
      </w:r>
    </w:p>
    <w:p w:rsidR="007161F9" w:rsidP="007161F9" w:rsidRDefault="007161F9" w14:paraId="6DD8E853" w14:textId="77777777"/>
    <w:p w:rsidRPr="00B17801" w:rsidR="007161F9" w:rsidP="007161F9" w:rsidRDefault="007161F9" w14:paraId="35559AAF" w14:textId="77777777">
      <w:pPr>
        <w:rPr>
          <w:b/>
          <w:bCs/>
        </w:rPr>
      </w:pPr>
      <w:r w:rsidRPr="00B17801">
        <w:rPr>
          <w:b/>
          <w:bCs/>
        </w:rPr>
        <w:t>Lecciones de los incendios de 2026: anticiparse para reducir el impacto</w:t>
      </w:r>
    </w:p>
    <w:p w:rsidR="00B17801" w:rsidP="007161F9" w:rsidRDefault="00B17801" w14:paraId="127DE1B6" w14:textId="77777777"/>
    <w:p w:rsidR="007161F9" w:rsidP="007161F9" w:rsidRDefault="00B17801" w14:paraId="301C0005" w14:textId="1C46B6C3">
      <w:r>
        <w:t>L</w:t>
      </w:r>
      <w:r w:rsidR="007161F9">
        <w:t>a conclusión central de la jornada fue la necesidad de reforzar la prevención y la anticipación como complemento a los medios de extinción. Los expertos subrayaron la importancia de mejorar la gestión del territorio, la coordinación de recursos y la información a la ciudadanía, especialmente en un contexto de temperaturas extremas y vegetación más vulnerable al fuego.</w:t>
      </w:r>
    </w:p>
    <w:p w:rsidR="007161F9" w:rsidP="007161F9" w:rsidRDefault="007161F9" w14:paraId="3D398E7E" w14:textId="77777777"/>
    <w:p w:rsidR="007161F9" w:rsidP="007161F9" w:rsidRDefault="007161F9" w14:paraId="641C46F9" w14:textId="77777777">
      <w:r>
        <w:t>El encuentro también destacó dos factores de riesgo creciente:</w:t>
      </w:r>
    </w:p>
    <w:p w:rsidRPr="008B03B4" w:rsidR="007161F9" w:rsidP="007161F9" w:rsidRDefault="007161F9" w14:paraId="2BDB9813" w14:textId="77777777"/>
    <w:p w:rsidRPr="008B03B4" w:rsidR="007161F9" w:rsidP="008B03B4" w:rsidRDefault="007161F9" w14:paraId="2265CDAC" w14:textId="77777777">
      <w:pPr>
        <w:pStyle w:val="Prrafodelista"/>
        <w:numPr>
          <w:ilvl w:val="0"/>
          <w:numId w:val="6"/>
        </w:numPr>
        <w:rPr>
          <w:color w:val="auto"/>
        </w:rPr>
      </w:pPr>
      <w:r w:rsidRPr="008B03B4">
        <w:rPr>
          <w:color w:val="auto"/>
        </w:rPr>
        <w:t>La acumulación de combustible vegetal asociada al abandono rural.</w:t>
      </w:r>
    </w:p>
    <w:p w:rsidRPr="008B03B4" w:rsidR="007161F9" w:rsidP="008B03B4" w:rsidRDefault="007161F9" w14:paraId="368FFEE0" w14:textId="77777777">
      <w:pPr>
        <w:pStyle w:val="Prrafodelista"/>
        <w:numPr>
          <w:ilvl w:val="0"/>
          <w:numId w:val="6"/>
        </w:numPr>
        <w:rPr>
          <w:color w:val="auto"/>
        </w:rPr>
      </w:pPr>
      <w:r w:rsidRPr="008B03B4">
        <w:rPr>
          <w:color w:val="auto"/>
        </w:rPr>
        <w:t>Los riesgos de la interfaz urbano-forestal, donde la proximidad de viviendas a masas forestales plantea nuevos desafíos para evacuaciones y confinamientos.</w:t>
      </w:r>
    </w:p>
    <w:p w:rsidR="007161F9" w:rsidP="007161F9" w:rsidRDefault="007161F9" w14:paraId="4D31A47A" w14:textId="77777777">
      <w:r>
        <w:t>Los participantes coincidieron en la necesidad de un modelo integral de prevención que combine gestión del territorio, conocimiento técnico, tecnología, coordinación institucional y autoprotección ciudadana.</w:t>
      </w:r>
    </w:p>
    <w:p w:rsidR="007161F9" w:rsidP="007161F9" w:rsidRDefault="007161F9" w14:paraId="047FB2A4" w14:textId="77777777"/>
    <w:p w:rsidRPr="008B03B4" w:rsidR="007161F9" w:rsidP="007161F9" w:rsidRDefault="007161F9" w14:paraId="31F4FAA5" w14:textId="77777777">
      <w:pPr>
        <w:rPr>
          <w:b/>
          <w:bCs/>
        </w:rPr>
      </w:pPr>
      <w:r w:rsidRPr="008B03B4">
        <w:rPr>
          <w:b/>
          <w:bCs/>
        </w:rPr>
        <w:t>Satellites on Fire: de la anticipación tecnológica a la prevención</w:t>
      </w:r>
    </w:p>
    <w:p w:rsidR="008B03B4" w:rsidP="007161F9" w:rsidRDefault="008B03B4" w14:paraId="5AC2D89D" w14:textId="77777777"/>
    <w:p w:rsidR="007161F9" w:rsidP="37870D93" w:rsidRDefault="007161F9" w14:paraId="1E406735" w14:textId="16F6972B">
      <w:r>
        <w:t xml:space="preserve">Mario Anero, Head of Claims de Allianz, </w:t>
      </w:r>
      <w:r w:rsidR="5EBDA6BE">
        <w:t>presentó</w:t>
      </w:r>
      <w:r>
        <w:t xml:space="preserve"> la experiencia desarrollada con Satellites on Fire durante el verano de 2026. Esta plataforma de monitorización satelital permite avanzar desde una respuesta reactiva hacia un modelo con mayor capacidad de prevención y anticipación.</w:t>
      </w:r>
    </w:p>
    <w:p w:rsidR="007161F9" w:rsidP="007161F9" w:rsidRDefault="007161F9" w14:paraId="27C418DF" w14:textId="77777777"/>
    <w:p w:rsidR="007161F9" w:rsidP="007161F9" w:rsidRDefault="007161F9" w14:paraId="28FAFAD4" w14:textId="77777777">
      <w:r>
        <w:t>Resultados de Satellites on Fire en verano de 2026:</w:t>
      </w:r>
    </w:p>
    <w:p w:rsidR="007161F9" w:rsidP="007161F9" w:rsidRDefault="007161F9" w14:paraId="3F756C5C" w14:textId="77777777"/>
    <w:p w:rsidRPr="00FF0CFF" w:rsidR="007161F9" w:rsidP="007161F9" w:rsidRDefault="007161F9" w14:paraId="16CADAFE" w14:textId="48052FC2">
      <w:pPr>
        <w:rPr>
          <w:b/>
          <w:bCs/>
        </w:rPr>
      </w:pPr>
      <w:r w:rsidRPr="00FF0CFF">
        <w:rPr>
          <w:b/>
          <w:bCs/>
        </w:rPr>
        <w:t>Indicador</w:t>
      </w:r>
      <w:r w:rsidRPr="00FF0CFF">
        <w:rPr>
          <w:b/>
          <w:bCs/>
        </w:rPr>
        <w:tab/>
      </w:r>
      <w:r w:rsidRPr="00FF0CFF" w:rsidR="00077EA0">
        <w:rPr>
          <w:b/>
          <w:bCs/>
        </w:rPr>
        <w:tab/>
      </w:r>
      <w:r w:rsidRPr="00FF0CFF" w:rsidR="00077EA0">
        <w:rPr>
          <w:b/>
          <w:bCs/>
        </w:rPr>
        <w:tab/>
      </w:r>
      <w:r w:rsidRPr="00FF0CFF" w:rsidR="00077EA0">
        <w:rPr>
          <w:b/>
          <w:bCs/>
        </w:rPr>
        <w:tab/>
      </w:r>
      <w:r w:rsidRPr="00FF0CFF" w:rsidR="00077EA0">
        <w:rPr>
          <w:b/>
          <w:bCs/>
        </w:rPr>
        <w:tab/>
      </w:r>
      <w:r w:rsidRPr="00FF0CFF" w:rsidR="00077EA0">
        <w:rPr>
          <w:b/>
          <w:bCs/>
        </w:rPr>
        <w:tab/>
      </w:r>
      <w:r w:rsidRPr="00FF0CFF" w:rsidR="00077EA0">
        <w:rPr>
          <w:b/>
          <w:bCs/>
        </w:rPr>
        <w:tab/>
      </w:r>
      <w:r w:rsidRPr="00FF0CFF" w:rsidR="00077EA0">
        <w:rPr>
          <w:b/>
          <w:bCs/>
        </w:rPr>
        <w:tab/>
      </w:r>
      <w:r w:rsidRPr="00FF0CFF">
        <w:rPr>
          <w:b/>
          <w:bCs/>
        </w:rPr>
        <w:t>Resultado</w:t>
      </w:r>
    </w:p>
    <w:p w:rsidR="007161F9" w:rsidP="007161F9" w:rsidRDefault="007161F9" w14:paraId="7F400661" w14:textId="29438781">
      <w:r>
        <w:t>Notificaciones de incendios generadas</w:t>
      </w:r>
      <w:r>
        <w:tab/>
      </w:r>
      <w:r w:rsidR="00077EA0">
        <w:tab/>
      </w:r>
      <w:r w:rsidR="00077EA0">
        <w:tab/>
      </w:r>
      <w:r w:rsidR="00077EA0">
        <w:tab/>
      </w:r>
      <w:r w:rsidR="00077EA0">
        <w:tab/>
      </w:r>
      <w:r>
        <w:t>728</w:t>
      </w:r>
    </w:p>
    <w:p w:rsidR="007161F9" w:rsidP="007161F9" w:rsidRDefault="007161F9" w14:paraId="5641BBB6" w14:textId="2F35AB55">
      <w:r>
        <w:t>Activaciones de planes de respuesta verificadas</w:t>
      </w:r>
      <w:r>
        <w:tab/>
      </w:r>
      <w:r w:rsidR="00077EA0">
        <w:tab/>
      </w:r>
      <w:r w:rsidR="00077EA0">
        <w:tab/>
      </w:r>
      <w:r w:rsidR="00077EA0">
        <w:tab/>
      </w:r>
      <w:r>
        <w:t>126</w:t>
      </w:r>
    </w:p>
    <w:p w:rsidR="007161F9" w:rsidP="007161F9" w:rsidRDefault="007161F9" w14:paraId="32CB145A" w14:textId="714B0964">
      <w:r>
        <w:t>Hectáreas afectadas por incendios monitorizados</w:t>
      </w:r>
      <w:r>
        <w:tab/>
      </w:r>
      <w:r w:rsidR="00077EA0">
        <w:tab/>
      </w:r>
      <w:r w:rsidR="00077EA0">
        <w:tab/>
      </w:r>
      <w:r>
        <w:t>Más de 200.000</w:t>
      </w:r>
    </w:p>
    <w:p w:rsidR="007161F9" w:rsidP="007161F9" w:rsidRDefault="007161F9" w14:paraId="33D8955E" w14:textId="0A2C555D">
      <w:r>
        <w:t>Comunicaciones preventivas enviadas (SMS y correo electrónico)</w:t>
      </w:r>
      <w:r>
        <w:tab/>
      </w:r>
      <w:r>
        <w:tab/>
      </w:r>
      <w:r>
        <w:t>Más de 1,2 millones</w:t>
      </w:r>
    </w:p>
    <w:p w:rsidR="37870D93" w:rsidRDefault="37870D93" w14:paraId="16B627B3" w14:textId="5D581D89"/>
    <w:p w:rsidR="007161F9" w:rsidP="007161F9" w:rsidRDefault="007161F9" w14:paraId="16E6F45E" w14:textId="77777777">
      <w:r>
        <w:t>La combinación de monitorización satelital con un equipo especializado de profesionales de Allianz permitió alertar a particulares y empresas potencialmente expuestos a incendios.</w:t>
      </w:r>
    </w:p>
    <w:p w:rsidR="007161F9" w:rsidP="007161F9" w:rsidRDefault="007161F9" w14:paraId="35397CFC" w14:textId="77777777"/>
    <w:p w:rsidRPr="00FF0CFF" w:rsidR="007161F9" w:rsidP="007161F9" w:rsidRDefault="007161F9" w14:paraId="797CAA48" w14:textId="77777777">
      <w:pPr>
        <w:rPr>
          <w:b/>
          <w:bCs/>
        </w:rPr>
      </w:pPr>
      <w:r w:rsidRPr="00FF0CFF">
        <w:rPr>
          <w:b/>
          <w:bCs/>
        </w:rPr>
        <w:t>Colaboración Allianz-APTB: tecnología y conocimiento de campo</w:t>
      </w:r>
    </w:p>
    <w:p w:rsidR="00FF0CFF" w:rsidP="007161F9" w:rsidRDefault="00FF0CFF" w14:paraId="3FA2E9AF" w14:textId="77777777"/>
    <w:p w:rsidR="00BF2991" w:rsidP="007161F9" w:rsidRDefault="007161F9" w14:paraId="0C37CD46" w14:textId="3E9D8B16">
      <w:r>
        <w:t>La colaboración con APTB permite a Allianz incorporar a su estrategia preventiva el conocimiento de los profesionales que trabajan directamente sobre el terreno. De este modo, la compañía da continuidad a la experiencia desarrollada con Satellites on Fire y combina tecnología, conocimiento experto y divulgación para contribuir a mejorar la prevención y la preparación de la sociedad frente a los incendios forestales</w:t>
      </w:r>
      <w:r w:rsidR="00F21363">
        <w:t>.</w:t>
      </w:r>
    </w:p>
    <w:p w:rsidR="005C6935" w:rsidP="00F21363" w:rsidRDefault="005C6935" w14:paraId="4649C54D" w14:textId="77777777"/>
    <w:p w:rsidRPr="007305EA" w:rsidR="00036A5B" w:rsidP="00853D8C" w:rsidRDefault="00036A5B" w14:paraId="16A98BD3" w14:textId="77777777"/>
    <w:tbl>
      <w:tblPr>
        <w:tblStyle w:val="AZPressContact"/>
        <w:tblW w:w="0" w:type="auto"/>
        <w:tblBorders>
          <w:top w:val="single" w:color="003781" w:themeColor="background1" w:sz="4" w:space="0"/>
          <w:bottom w:val="single" w:color="003781" w:themeColor="background1" w:sz="4" w:space="0"/>
        </w:tblBorders>
        <w:tblLook w:val="0600" w:firstRow="0" w:lastRow="0" w:firstColumn="0" w:lastColumn="0" w:noHBand="1" w:noVBand="1"/>
      </w:tblPr>
      <w:tblGrid>
        <w:gridCol w:w="1984"/>
        <w:gridCol w:w="2721"/>
        <w:gridCol w:w="3855"/>
        <w:gridCol w:w="19"/>
      </w:tblGrid>
      <w:tr w:rsidRPr="007305EA" w:rsidR="00137935" w:rsidTr="00EB6C5C" w14:paraId="3642DFCB" w14:textId="77777777">
        <w:tc>
          <w:tcPr>
            <w:tcW w:w="8579" w:type="dxa"/>
            <w:gridSpan w:val="4"/>
            <w:tcMar>
              <w:bottom w:w="142" w:type="dxa"/>
            </w:tcMar>
          </w:tcPr>
          <w:p w:rsidRPr="007305EA" w:rsidR="00137935" w:rsidP="001E6D1C" w:rsidRDefault="0034286C" w14:paraId="1BFC39D2" w14:textId="2FABF0DA">
            <w:pPr>
              <w:rPr>
                <w:rStyle w:val="StyleBoldText2"/>
                <w:lang w:val="es-ES"/>
              </w:rPr>
            </w:pPr>
            <w:r w:rsidRPr="007305EA">
              <w:rPr>
                <w:rStyle w:val="StyleBoldText2"/>
                <w:lang w:val="es-ES"/>
              </w:rPr>
              <w:t>Para más información:</w:t>
            </w:r>
          </w:p>
        </w:tc>
      </w:tr>
      <w:tr w:rsidRPr="007305EA" w:rsidR="007A3DD9" w:rsidTr="001C10B7" w14:paraId="02A973FD" w14:textId="77777777">
        <w:trPr>
          <w:gridAfter w:val="1"/>
          <w:wAfter w:w="19" w:type="dxa"/>
          <w:trHeight w:val="422"/>
        </w:trPr>
        <w:tc>
          <w:tcPr>
            <w:tcW w:w="1984" w:type="dxa"/>
            <w:tcMar>
              <w:top w:w="142" w:type="dxa"/>
            </w:tcMar>
          </w:tcPr>
          <w:p w:rsidRPr="007305EA" w:rsidR="0034286C" w:rsidP="0034286C" w:rsidRDefault="0034286C" w14:paraId="3E90328E" w14:textId="737F5F33">
            <w:pPr>
              <w:rPr>
                <w:rStyle w:val="StyleBackground1"/>
                <w:lang w:val="es-ES"/>
              </w:rPr>
            </w:pPr>
            <w:r w:rsidRPr="007305EA">
              <w:rPr>
                <w:rStyle w:val="StyleBackground1"/>
                <w:lang w:val="es-ES"/>
              </w:rPr>
              <w:t>Sonia Rodríguez</w:t>
            </w:r>
            <w:r w:rsidRPr="007305EA" w:rsidR="00BD281C">
              <w:rPr>
                <w:rStyle w:val="StyleBackground1"/>
                <w:lang w:val="es-ES"/>
              </w:rPr>
              <w:t xml:space="preserve"> </w:t>
            </w:r>
          </w:p>
          <w:p w:rsidRPr="007305EA" w:rsidR="00137935" w:rsidP="00DC2140" w:rsidRDefault="00137935" w14:paraId="59B1BAEA" w14:textId="403931C4">
            <w:pPr>
              <w:rPr>
                <w:rStyle w:val="StyleBackground1"/>
                <w:lang w:val="es-ES"/>
              </w:rPr>
            </w:pPr>
          </w:p>
        </w:tc>
        <w:tc>
          <w:tcPr>
            <w:tcW w:w="2721" w:type="dxa"/>
            <w:tcMar>
              <w:top w:w="142" w:type="dxa"/>
            </w:tcMar>
          </w:tcPr>
          <w:p w:rsidRPr="007305EA" w:rsidR="007A3DD9" w:rsidP="007A3DD9" w:rsidRDefault="007A3DD9" w14:paraId="125C94D4" w14:textId="1C746E7D">
            <w:pPr>
              <w:rPr>
                <w:rStyle w:val="StyleBackground1"/>
                <w:lang w:val="es-ES"/>
              </w:rPr>
            </w:pPr>
            <w:r w:rsidRPr="007305EA">
              <w:rPr>
                <w:rStyle w:val="StyleBackground1"/>
                <w:lang w:val="es-ES"/>
              </w:rPr>
              <w:t>T</w:t>
            </w:r>
            <w:r w:rsidRPr="007305EA" w:rsidR="0034286C">
              <w:rPr>
                <w:rStyle w:val="StyleBackground1"/>
                <w:lang w:val="es-ES"/>
              </w:rPr>
              <w:t>el.</w:t>
            </w:r>
            <w:r w:rsidRPr="007305EA">
              <w:rPr>
                <w:rStyle w:val="StyleBackground1"/>
                <w:lang w:val="es-ES"/>
              </w:rPr>
              <w:t xml:space="preserve"> </w:t>
            </w:r>
            <w:r w:rsidRPr="007305EA" w:rsidR="0034286C">
              <w:rPr>
                <w:rStyle w:val="StyleBackground1"/>
                <w:lang w:val="es-ES"/>
              </w:rPr>
              <w:t>638 93 00 08</w:t>
            </w:r>
          </w:p>
          <w:p w:rsidRPr="007305EA" w:rsidR="00137935" w:rsidP="00DC2140" w:rsidRDefault="00137935" w14:paraId="25C474BA" w14:textId="5D271C70">
            <w:pPr>
              <w:rPr>
                <w:rStyle w:val="StyleBackground1"/>
                <w:lang w:val="es-ES"/>
              </w:rPr>
            </w:pPr>
          </w:p>
        </w:tc>
        <w:tc>
          <w:tcPr>
            <w:tcW w:w="3855" w:type="dxa"/>
            <w:tcMar>
              <w:top w:w="142" w:type="dxa"/>
            </w:tcMar>
          </w:tcPr>
          <w:p w:rsidRPr="007305EA" w:rsidR="00137935" w:rsidP="001C10B7" w:rsidRDefault="0034286C" w14:paraId="672B4957" w14:textId="2BCD7DEC">
            <w:pPr>
              <w:rPr>
                <w:rStyle w:val="StyleBackground1"/>
                <w:lang w:val="es-ES"/>
              </w:rPr>
            </w:pPr>
            <w:r w:rsidRPr="007305EA">
              <w:rPr>
                <w:rStyle w:val="StyleBackground1"/>
                <w:lang w:val="es-ES"/>
              </w:rPr>
              <w:t>sonia</w:t>
            </w:r>
            <w:r w:rsidRPr="007305EA" w:rsidR="00BD281C">
              <w:rPr>
                <w:rStyle w:val="StyleBackground1"/>
                <w:lang w:val="es-ES"/>
              </w:rPr>
              <w:t>.</w:t>
            </w:r>
            <w:r w:rsidRPr="007305EA">
              <w:rPr>
                <w:rStyle w:val="StyleBackground1"/>
                <w:lang w:val="es-ES"/>
              </w:rPr>
              <w:t>rodriguez</w:t>
            </w:r>
            <w:r w:rsidRPr="007305EA" w:rsidR="00BD281C">
              <w:rPr>
                <w:rStyle w:val="StyleBackground1"/>
                <w:lang w:val="es-ES"/>
              </w:rPr>
              <w:t>@allianz</w:t>
            </w:r>
            <w:r w:rsidRPr="007305EA" w:rsidR="007A3DD9">
              <w:rPr>
                <w:rStyle w:val="StyleBackground1"/>
                <w:lang w:val="es-ES"/>
              </w:rPr>
              <w:t>.</w:t>
            </w:r>
            <w:r w:rsidRPr="007305EA">
              <w:rPr>
                <w:rStyle w:val="StyleBackground1"/>
                <w:lang w:val="es-ES"/>
              </w:rPr>
              <w:t>es</w:t>
            </w:r>
          </w:p>
        </w:tc>
      </w:tr>
    </w:tbl>
    <w:p w:rsidRPr="007305EA" w:rsidR="001E6D1C" w:rsidP="00BA3CBC" w:rsidRDefault="0034286C" w14:paraId="39D35B2C" w14:textId="3D6B647F">
      <w:pPr>
        <w:pStyle w:val="Ttulo2"/>
      </w:pPr>
      <w:r w:rsidRPr="007305EA">
        <w:t>Sobre Allianz Seguros</w:t>
      </w:r>
    </w:p>
    <w:p w:rsidRPr="007305EA" w:rsidR="00BF5976" w:rsidP="00BF5976" w:rsidRDefault="00BF5976" w14:paraId="468744EF" w14:textId="77777777">
      <w:r w:rsidRPr="007305EA">
        <w:t>Allianz Seguros es la filial principal del Grupo Allianz en España y una de las compañías líderes del sector asegurador español. Con presencia en todo el territorio nacional, la compañía cuenta con más de 2.300 empleados y una red de más de 13.000 mediadores.</w:t>
      </w:r>
    </w:p>
    <w:p w:rsidRPr="007305EA" w:rsidR="00BF5976" w:rsidP="00BF5976" w:rsidRDefault="00BF5976" w14:paraId="3F48C481" w14:textId="77777777"/>
    <w:p w:rsidRPr="007305EA" w:rsidR="00BF5976" w:rsidP="00BF5976" w:rsidRDefault="00BF5976" w14:paraId="1A3C5677" w14:textId="70C48C56">
      <w:r w:rsidRPr="007305EA">
        <w:t xml:space="preserve">Allianz Seguros ofrece seguros para particulares (Vida, Salud, Autos, Hogar y Accidentes) y para empresas (Multirriesgos, responsabilidad civil y soluciones personalizadas), combinando atención presencial en su red de sucursales con servicios digitales a través de su aplicación móvil y área de cliente online.Allianz Seguros forma parte del Grupo Allianz, uno de los principales aseguradores y gestores de activos del mundo, presente en cerca de 70 países y al servicio de alrededor de 97 millones de clientes particulares y corporativos*. </w:t>
      </w:r>
    </w:p>
    <w:p w:rsidRPr="007305EA" w:rsidR="00BF5976" w:rsidP="00BF5976" w:rsidRDefault="00BF5976" w14:paraId="311F35F6" w14:textId="77777777"/>
    <w:p w:rsidRPr="007305EA" w:rsidR="001C10B7" w:rsidP="00BF5976" w:rsidRDefault="00BF5976" w14:paraId="4D986C6D" w14:textId="2DAE3C3C">
      <w:r w:rsidRPr="007305EA">
        <w:t xml:space="preserve">Más información: </w:t>
      </w:r>
      <w:hyperlink w:history="1" r:id="rId13">
        <w:r w:rsidRPr="007305EA">
          <w:rPr>
            <w:rStyle w:val="Hipervnculo"/>
          </w:rPr>
          <w:t>https://www.allianz.es/.</w:t>
        </w:r>
      </w:hyperlink>
    </w:p>
    <w:p w:rsidRPr="007305EA" w:rsidR="000E6184" w:rsidP="00827A62" w:rsidRDefault="000E6184" w14:paraId="72DCABB0" w14:textId="77777777"/>
    <w:p w:rsidRPr="007305EA" w:rsidR="00F72E43" w:rsidP="008640C9" w:rsidRDefault="00F72E43" w14:paraId="78597A70" w14:textId="77777777"/>
    <w:p w:rsidRPr="007305EA" w:rsidR="00EB6C5C" w:rsidP="00B1634E" w:rsidRDefault="00FF57EC" w14:paraId="430C8A9A" w14:textId="26957AE0">
      <w:pPr>
        <w:pStyle w:val="AZ-PSmall"/>
      </w:pPr>
      <w:r w:rsidRPr="007305EA">
        <w:t xml:space="preserve">Estas aseveraciones quedan, como siempre, sujetas a la siguiente </w:t>
      </w:r>
      <w:hyperlink w:history="1" r:id="rId14">
        <w:r w:rsidRPr="007305EA">
          <w:rPr>
            <w:rStyle w:val="Hipervnculo"/>
          </w:rPr>
          <w:t>nota preventiva.</w:t>
        </w:r>
      </w:hyperlink>
    </w:p>
    <w:p w:rsidRPr="007305EA" w:rsidR="00BD1313" w:rsidP="00B1634E" w:rsidRDefault="00BD1313" w14:paraId="73BB3DDB" w14:textId="77777777">
      <w:pPr>
        <w:pStyle w:val="AZ-PSmall"/>
      </w:pPr>
    </w:p>
    <w:p w:rsidRPr="007305EA" w:rsidR="004E5839" w:rsidP="00B1634E" w:rsidRDefault="004E5839" w14:paraId="524D244D" w14:textId="77777777">
      <w:pPr>
        <w:pStyle w:val="AZ-PSmall"/>
      </w:pPr>
    </w:p>
    <w:p w:rsidRPr="005072B6" w:rsidR="004E5839" w:rsidP="00B1634E" w:rsidRDefault="004E5839" w14:paraId="76664B2F" w14:textId="0E6C87F9">
      <w:pPr>
        <w:pStyle w:val="AZ-PSmall"/>
      </w:pPr>
    </w:p>
    <w:sectPr w:rsidRPr="005072B6" w:rsidR="004E5839" w:rsidSect="005D10A6">
      <w:headerReference w:type="even" r:id="rId15"/>
      <w:headerReference w:type="default" r:id="rId16"/>
      <w:footerReference w:type="default" r:id="rId17"/>
      <w:headerReference w:type="first" r:id="rId18"/>
      <w:footerReference w:type="first" r:id="rId19"/>
      <w:pgSz w:w="11906" w:h="16838" w:orient="portrait"/>
      <w:pgMar w:top="2495" w:right="765" w:bottom="1418" w:left="2552" w:header="709" w:footer="737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7305EA" w:rsidR="00A90B72" w:rsidP="009F69DD" w:rsidRDefault="00A90B72" w14:paraId="75502169" w14:textId="77777777">
      <w:r w:rsidRPr="007305EA">
        <w:separator/>
      </w:r>
    </w:p>
  </w:endnote>
  <w:endnote w:type="continuationSeparator" w:id="0">
    <w:p w:rsidRPr="007305EA" w:rsidR="00A90B72" w:rsidP="009F69DD" w:rsidRDefault="00A90B72" w14:paraId="196377FB" w14:textId="77777777">
      <w:r w:rsidRPr="007305E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llianz Neo">
    <w:panose1 w:val="020B0504020203020204"/>
    <w:charset w:val="00"/>
    <w:family w:val="swiss"/>
    <w:pitch w:val="variable"/>
    <w:sig w:usb0="A0000067" w:usb1="00000001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llianz Neo SemiBold">
    <w:charset w:val="00"/>
    <w:family w:val="swiss"/>
    <w:pitch w:val="variable"/>
    <w:sig w:usb0="A0000067" w:usb1="00000001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305EA" w:rsidR="00070BAA" w:rsidP="007D01A7" w:rsidRDefault="00070BAA" w14:paraId="48BF8F0E" w14:textId="77777777">
    <w:pPr>
      <w:pStyle w:val="Piedepgina"/>
      <w:jc w:val="right"/>
    </w:pPr>
    <w:r w:rsidRPr="007305EA">
      <w:rPr>
        <w:color w:val="414141" w:themeColor="background2"/>
      </w:rPr>
      <w:fldChar w:fldCharType="begin"/>
    </w:r>
    <w:r w:rsidRPr="007305EA">
      <w:rPr>
        <w:color w:val="414141" w:themeColor="background2"/>
      </w:rPr>
      <w:instrText xml:space="preserve"> PAGE   \* MERGEFORMAT </w:instrText>
    </w:r>
    <w:r w:rsidRPr="007305EA">
      <w:rPr>
        <w:color w:val="414141" w:themeColor="background2"/>
      </w:rPr>
      <w:fldChar w:fldCharType="separate"/>
    </w:r>
    <w:r w:rsidRPr="007305EA">
      <w:rPr>
        <w:color w:val="414141" w:themeColor="background2"/>
      </w:rPr>
      <w:t>2</w:t>
    </w:r>
    <w:r w:rsidRPr="007305EA">
      <w:rPr>
        <w:color w:val="414141" w:themeColor="background2"/>
      </w:rPr>
      <w:fldChar w:fldCharType="end"/>
    </w:r>
    <w:r w:rsidRPr="007305EA">
      <w:rPr>
        <w:color w:val="414141" w:themeColor="background2"/>
      </w:rPr>
      <w:t>/</w:t>
    </w:r>
    <w:r w:rsidRPr="007305EA">
      <w:rPr>
        <w:color w:val="414141" w:themeColor="background2"/>
      </w:rPr>
      <w:fldChar w:fldCharType="begin"/>
    </w:r>
    <w:r w:rsidRPr="007305EA">
      <w:rPr>
        <w:color w:val="414141" w:themeColor="background2"/>
      </w:rPr>
      <w:instrText xml:space="preserve"> NUMPAGES  \* Arabic  \* MERGEFORMAT </w:instrText>
    </w:r>
    <w:r w:rsidRPr="007305EA">
      <w:rPr>
        <w:color w:val="414141" w:themeColor="background2"/>
      </w:rPr>
      <w:fldChar w:fldCharType="separate"/>
    </w:r>
    <w:r w:rsidRPr="007305EA">
      <w:rPr>
        <w:color w:val="414141" w:themeColor="background2"/>
      </w:rPr>
      <w:t>2</w:t>
    </w:r>
    <w:r w:rsidRPr="007305EA">
      <w:rPr>
        <w:color w:val="414141" w:themeColor="background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305EA" w:rsidR="00A90DBF" w:rsidP="007D01A7" w:rsidRDefault="005D10A6" w14:paraId="5B00E2E3" w14:textId="77777777">
    <w:pPr>
      <w:pStyle w:val="Piedepgina"/>
      <w:jc w:val="right"/>
    </w:pPr>
    <w:r w:rsidRPr="007305EA">
      <w:rPr>
        <w:color w:val="414141" w:themeColor="background2"/>
      </w:rPr>
      <w:fldChar w:fldCharType="begin"/>
    </w:r>
    <w:r w:rsidRPr="007305EA">
      <w:rPr>
        <w:color w:val="414141" w:themeColor="background2"/>
      </w:rPr>
      <w:instrText xml:space="preserve"> PAGE   \* MERGEFORMAT </w:instrText>
    </w:r>
    <w:r w:rsidRPr="007305EA">
      <w:rPr>
        <w:color w:val="414141" w:themeColor="background2"/>
      </w:rPr>
      <w:fldChar w:fldCharType="separate"/>
    </w:r>
    <w:r w:rsidRPr="007305EA">
      <w:rPr>
        <w:color w:val="414141" w:themeColor="background2"/>
      </w:rPr>
      <w:t>2</w:t>
    </w:r>
    <w:r w:rsidRPr="007305EA">
      <w:rPr>
        <w:color w:val="414141" w:themeColor="background2"/>
      </w:rPr>
      <w:fldChar w:fldCharType="end"/>
    </w:r>
    <w:r w:rsidRPr="007305EA">
      <w:rPr>
        <w:color w:val="414141" w:themeColor="background2"/>
      </w:rPr>
      <w:t>/</w:t>
    </w:r>
    <w:r w:rsidRPr="007305EA">
      <w:rPr>
        <w:color w:val="414141" w:themeColor="background2"/>
      </w:rPr>
      <w:fldChar w:fldCharType="begin"/>
    </w:r>
    <w:r w:rsidRPr="007305EA">
      <w:rPr>
        <w:color w:val="414141" w:themeColor="background2"/>
      </w:rPr>
      <w:instrText xml:space="preserve"> NUMPAGES  \* Arabic  \* MERGEFORMAT </w:instrText>
    </w:r>
    <w:r w:rsidRPr="007305EA">
      <w:rPr>
        <w:color w:val="414141" w:themeColor="background2"/>
      </w:rPr>
      <w:fldChar w:fldCharType="separate"/>
    </w:r>
    <w:r w:rsidRPr="007305EA">
      <w:rPr>
        <w:color w:val="414141" w:themeColor="background2"/>
      </w:rPr>
      <w:t>2</w:t>
    </w:r>
    <w:r w:rsidRPr="007305EA">
      <w:rPr>
        <w:color w:val="414141" w:themeColor="background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7305EA" w:rsidR="00A90B72" w:rsidP="009F69DD" w:rsidRDefault="00A90B72" w14:paraId="4FE39D69" w14:textId="77777777">
      <w:r w:rsidRPr="007305EA">
        <w:separator/>
      </w:r>
    </w:p>
  </w:footnote>
  <w:footnote w:type="continuationSeparator" w:id="0">
    <w:p w:rsidRPr="007305EA" w:rsidR="00A90B72" w:rsidP="009F69DD" w:rsidRDefault="00A90B72" w14:paraId="1DC023C0" w14:textId="77777777">
      <w:r w:rsidRPr="007305E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Pr="007305EA" w:rsidR="001C10B7" w:rsidRDefault="001C10B7" w14:paraId="244115CF" w14:textId="426B000E">
    <w:pPr>
      <w:pStyle w:val="Encabezado"/>
    </w:pPr>
    <w:r w:rsidRPr="007305EA">
      <mc:AlternateContent>
        <mc:Choice Requires="wps">
          <w:drawing>
            <wp:anchor distT="0" distB="0" distL="0" distR="0" simplePos="0" relativeHeight="251658245" behindDoc="0" locked="0" layoutInCell="1" allowOverlap="1" wp14:anchorId="1DEDF699" wp14:editId="0D5788F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05765" cy="355600"/>
              <wp:effectExtent l="0" t="0" r="13335" b="6350"/>
              <wp:wrapNone/>
              <wp:docPr id="1203036675" name="Cuadro de texto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576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7305EA" w:rsidR="001C10B7" w:rsidP="001C10B7" w:rsidRDefault="001C10B7" w14:paraId="488E7C2A" w14:textId="1D3E3658">
                          <w:pPr>
                            <w:rPr>
                              <w:rFonts w:ascii="Calibri" w:hAnsi="Calibri" w:eastAsia="Calibri" w:cs="Calibri"/>
                              <w:color w:val="000000"/>
                              <w:szCs w:val="20"/>
                            </w:rPr>
                          </w:pPr>
                          <w:r w:rsidRPr="007305EA">
                            <w:rPr>
                              <w:rFonts w:ascii="Calibri" w:hAnsi="Calibri" w:eastAsia="Calibri" w:cs="Calibri"/>
                              <w:color w:val="00000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w16cei="http://schemas.microsoft.com/office/word/2026/wordml/cei" xmlns:aclsh="http://schemas.microsoft.com/office/drawing/2020/classificationShape" xmlns:a="http://schemas.openxmlformats.org/drawingml/2006/main">
          <w:pict w14:anchorId="3B5460A2">
            <v:shapetype id="_x0000_t202" coordsize="21600,21600" o:spt="202" path="m,l,21600r21600,l21600,xe" w14:anchorId="1DEDF699">
              <v:stroke joinstyle="miter"/>
              <v:path gradientshapeok="t" o:connecttype="rect"/>
            </v:shapetype>
            <v:shape id="Cuadro de texto 2" style="position:absolute;margin-left:0;margin-top:0;width:31.95pt;height:28pt;z-index:251658245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Intern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">
              <v:textbox style="mso-fit-shape-to-text:t" inset="0,15pt,0,0">
                <w:txbxContent>
                  <w:p w:rsidRPr="007305EA" w:rsidR="001C10B7" w:rsidP="001C10B7" w:rsidRDefault="001C10B7" w14:paraId="3EBC992C" w14:textId="1D3E3658">
                    <w:pPr>
                      <w:rPr>
                        <w:rFonts w:ascii="Calibri" w:hAnsi="Calibri" w:eastAsia="Calibri" w:cs="Calibri"/>
                        <w:color w:val="000000"/>
                        <w:szCs w:val="20"/>
                      </w:rPr>
                    </w:pPr>
                    <w:r w:rsidRPr="007305EA">
                      <w:rPr>
                        <w:rFonts w:ascii="Calibri" w:hAnsi="Calibri" w:eastAsia="Calibri" w:cs="Calibri"/>
                        <w:color w:val="00000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xmlns:pic="http://schemas.openxmlformats.org/drawingml/2006/picture" xmlns:a14="http://schemas.microsoft.com/office/drawing/2010/main" xmlns:asvg="http://schemas.microsoft.com/office/drawing/2016/SVG/main" mc:Ignorable="w14 w15 w16se w16cid w16 w16cex w16sdtdh w16sdtfl w16du wp14">
  <w:p w:rsidRPr="007305EA" w:rsidR="00F77599" w:rsidP="009F69DD" w:rsidRDefault="001C10B7" w14:paraId="0696D101" w14:textId="631BA86A">
    <w:pPr>
      <w:pStyle w:val="Encabezado"/>
    </w:pPr>
    <w:r w:rsidRPr="007305EA">
      <mc:AlternateContent>
        <mc:Choice Requires="wps">
          <w:drawing>
            <wp:anchor distT="0" distB="0" distL="0" distR="0" simplePos="0" relativeHeight="251658246" behindDoc="0" locked="0" layoutInCell="1" allowOverlap="1" wp14:anchorId="3718D2E2" wp14:editId="665029C3">
              <wp:simplePos x="1621155" y="450850"/>
              <wp:positionH relativeFrom="page">
                <wp:align>center</wp:align>
              </wp:positionH>
              <wp:positionV relativeFrom="page">
                <wp:align>top</wp:align>
              </wp:positionV>
              <wp:extent cx="405765" cy="355600"/>
              <wp:effectExtent l="0" t="0" r="13335" b="6350"/>
              <wp:wrapNone/>
              <wp:docPr id="857563756" name="Cuadro de texto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576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7305EA" w:rsidR="001C10B7" w:rsidP="001C10B7" w:rsidRDefault="001C10B7" w14:paraId="443E60AD" w14:textId="280F9FF2">
                          <w:pPr>
                            <w:rPr>
                              <w:rFonts w:ascii="Calibri" w:hAnsi="Calibri" w:eastAsia="Calibri" w:cs="Calibri"/>
                              <w:color w:val="000000"/>
                              <w:szCs w:val="20"/>
                            </w:rPr>
                          </w:pPr>
                          <w:r w:rsidRPr="007305EA">
                            <w:rPr>
                              <w:rFonts w:ascii="Calibri" w:hAnsi="Calibri" w:eastAsia="Calibri" w:cs="Calibri"/>
                              <w:color w:val="00000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w16cei="http://schemas.microsoft.com/office/word/2026/wordml/cei" xmlns:asvg="http://schemas.microsoft.com/office/drawing/2016/SVG/main" xmlns:a14="http://schemas.microsoft.com/office/drawing/2010/main" xmlns:pic="http://schemas.openxmlformats.org/drawingml/2006/picture" xmlns:aclsh="http://schemas.microsoft.com/office/drawing/2020/classificationShape" xmlns:a="http://schemas.openxmlformats.org/drawingml/2006/main">
          <w:pict w14:anchorId="3EFD0E1D">
            <v:shapetype id="_x0000_t202" coordsize="21600,21600" o:spt="202" path="m,l,21600r21600,l21600,xe" w14:anchorId="3718D2E2">
              <v:stroke joinstyle="miter"/>
              <v:path gradientshapeok="t" o:connecttype="rect"/>
            </v:shapetype>
            <v:shape id="Cuadro de texto 3" style="position:absolute;margin-left:0;margin-top:0;width:31.95pt;height:28pt;z-index:25165824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Intern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">
              <v:textbox style="mso-fit-shape-to-text:t" inset="0,15pt,0,0">
                <w:txbxContent>
                  <w:p w:rsidRPr="007305EA" w:rsidR="001C10B7" w:rsidP="001C10B7" w:rsidRDefault="001C10B7" w14:paraId="7A2EC13D" w14:textId="280F9FF2">
                    <w:pPr>
                      <w:rPr>
                        <w:rFonts w:ascii="Calibri" w:hAnsi="Calibri" w:eastAsia="Calibri" w:cs="Calibri"/>
                        <w:color w:val="000000"/>
                        <w:szCs w:val="20"/>
                      </w:rPr>
                    </w:pPr>
                    <w:r w:rsidRPr="007305EA">
                      <w:rPr>
                        <w:rFonts w:ascii="Calibri" w:hAnsi="Calibri" w:eastAsia="Calibri" w:cs="Calibri"/>
                        <w:color w:val="00000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7305EA" w:rsidR="00B604AC">
      <mc:AlternateContent>
        <mc:Choice Requires="wps">
          <w:drawing>
            <wp:anchor distT="0" distB="0" distL="114300" distR="114300" simplePos="0" relativeHeight="251658243" behindDoc="0" locked="0" layoutInCell="1" allowOverlap="1" wp14:anchorId="47A379D0" wp14:editId="6584EE7C">
              <wp:simplePos x="0" y="0"/>
              <wp:positionH relativeFrom="column">
                <wp:posOffset>15875</wp:posOffset>
              </wp:positionH>
              <wp:positionV relativeFrom="paragraph">
                <wp:posOffset>972185</wp:posOffset>
              </wp:positionV>
              <wp:extent cx="5400000" cy="612000"/>
              <wp:effectExtent l="0" t="0" r="10795" b="17145"/>
              <wp:wrapTopAndBottom/>
              <wp:docPr id="4" name="Rechtec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00000" cy="61200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w16cei="http://schemas.microsoft.com/office/word/2026/wordml/cei" xmlns:asvg="http://schemas.microsoft.com/office/drawing/2016/SVG/main" xmlns:a14="http://schemas.microsoft.com/office/drawing/2010/main" xmlns:pic="http://schemas.openxmlformats.org/drawingml/2006/picture" xmlns:aclsh="http://schemas.microsoft.com/office/drawing/2020/classificationShape" xmlns:a="http://schemas.openxmlformats.org/drawingml/2006/main">
          <w:pict w14:anchorId="76C94301">
            <v:rect id="Rechteck 4" style="position:absolute;margin-left:1.25pt;margin-top:76.55pt;width:425.2pt;height:48.2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3]" strokecolor="white [3213]" strokeweight="2pt" w14:anchorId="7878D61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">
              <w10:wrap type="topAndBottom"/>
            </v:rect>
          </w:pict>
        </mc:Fallback>
      </mc:AlternateContent>
    </w:r>
    <w:r w:rsidRPr="007305EA" w:rsidR="00A76C73">
      <mc:AlternateContent>
        <mc:Choice Requires="wps">
          <w:drawing>
            <wp:anchor distT="0" distB="0" distL="114300" distR="114300" simplePos="0" relativeHeight="251658241" behindDoc="0" locked="1" layoutInCell="1" allowOverlap="1" wp14:anchorId="37BE07A7" wp14:editId="10386E22">
              <wp:simplePos x="0" y="0"/>
              <wp:positionH relativeFrom="page">
                <wp:posOffset>485775</wp:posOffset>
              </wp:positionH>
              <wp:positionV relativeFrom="page">
                <wp:posOffset>2016125</wp:posOffset>
              </wp:positionV>
              <wp:extent cx="1033200" cy="885600"/>
              <wp:effectExtent l="0" t="0" r="14605" b="10160"/>
              <wp:wrapNone/>
              <wp:docPr id="10" name="Textfeld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3200" cy="885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Pr="007305EA" w:rsidR="00A76C73" w:rsidP="00685E57" w:rsidRDefault="00D519D4" w14:paraId="4AE21A15" w14:textId="48DB6456">
                          <w:pPr>
                            <w:pStyle w:val="AZ-PDate"/>
                          </w:pPr>
                          <w:r>
                            <w:fldChar w:fldCharType="begin"/>
                          </w:r>
                          <w:r>
                            <w:instrText> STYLEREF  "AZ-P Date"  \* MERGEFORMAT </w:instrText>
                          </w:r>
                          <w:r>
                            <w:fldChar w:fldCharType="separate"/>
                          </w:r>
                          <w:r w:rsidR="008C4E9B">
                            <w:t>01 Octubre 2026</w:t>
                          </w:r>
                          <w:r>
                            <w:fldChar w:fldCharType="end"/>
                          </w:r>
                        </w:p>
                        <w:p w:rsidRPr="007305EA" w:rsidR="005D10A6" w:rsidP="00685E57" w:rsidRDefault="00D519D4" w14:paraId="5F0F6D58" w14:textId="0CE69751">
                          <w:pPr>
                            <w:pStyle w:val="AZ-PDate"/>
                          </w:pPr>
                          <w:r>
                            <w:fldChar w:fldCharType="begin"/>
                          </w:r>
                          <w:r>
                            <w:instrText> STYLEREF  "AZ-P Date2"  \* MERGEFORMAT </w:instrText>
                          </w:r>
                          <w:r>
                            <w:fldChar w:fldCharType="separate"/>
                          </w:r>
                          <w:r w:rsidR="008C4E9B">
                            <w:t>Madrid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79F006B3">
            <v:shapetype id="_x0000_t202" coordsize="21600,21600" o:spt="202" path="m,l,21600r21600,l21600,xe" w14:anchorId="37BE07A7">
              <v:stroke joinstyle="miter"/>
              <v:path gradientshapeok="t" o:connecttype="rect"/>
            </v:shapetype>
            <v:shape id="Textfeld 10" style="position:absolute;margin-left:38.25pt;margin-top:158.75pt;width:81.35pt;height:69.7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">
              <v:textbox inset="0,0,0,0">
                <w:txbxContent>
                  <w:p w:rsidRPr="007305EA" w:rsidR="00A76C73" w:rsidP="00685E57" w:rsidRDefault="00D519D4" w14:paraId="575BF49C" w14:textId="48DB6456">
                    <w:pPr>
                      <w:pStyle w:val="AZ-PDate"/>
                    </w:pPr>
                    <w:r>
                      <w:fldChar w:fldCharType="begin"/>
                    </w:r>
                    <w:r>
                      <w:instrText> STYLEREF  "AZ-P Date"  \* MERGEFORMAT </w:instrText>
                    </w:r>
                    <w:r>
                      <w:fldChar w:fldCharType="separate"/>
                    </w:r>
                    <w:r w:rsidR="008C4E9B">
                      <w:t>01 Octubre 2026</w:t>
                    </w:r>
                    <w:r>
                      <w:fldChar w:fldCharType="end"/>
                    </w:r>
                  </w:p>
                  <w:p w:rsidRPr="007305EA" w:rsidR="005D10A6" w:rsidP="00685E57" w:rsidRDefault="00D519D4" w14:paraId="194788B0" w14:textId="0CE69751">
                    <w:pPr>
                      <w:pStyle w:val="AZ-PDate"/>
                    </w:pPr>
                    <w:r>
                      <w:fldChar w:fldCharType="begin"/>
                    </w:r>
                    <w:r>
                      <w:instrText> STYLEREF  "AZ-P Date2"  \* MERGEFORMAT </w:instrText>
                    </w:r>
                    <w:r>
                      <w:fldChar w:fldCharType="separate"/>
                    </w:r>
                    <w:r w:rsidR="008C4E9B">
                      <w:t>Madrid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7305EA" w:rsidR="00F77599">
      <w:drawing>
        <wp:anchor distT="0" distB="0" distL="114300" distR="114300" simplePos="0" relativeHeight="251658240" behindDoc="0" locked="1" layoutInCell="1" allowOverlap="1" wp14:anchorId="5FE5C75F" wp14:editId="0D1E6A1F">
          <wp:simplePos x="0" y="0"/>
          <wp:positionH relativeFrom="page">
            <wp:posOffset>488950</wp:posOffset>
          </wp:positionH>
          <wp:positionV relativeFrom="page">
            <wp:posOffset>490220</wp:posOffset>
          </wp:positionV>
          <wp:extent cx="1439545" cy="359410"/>
          <wp:effectExtent l="0" t="0" r="8255" b="2540"/>
          <wp:wrapSquare wrapText="bothSides"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545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xmlns:pic="http://schemas.openxmlformats.org/drawingml/2006/picture" xmlns:a14="http://schemas.microsoft.com/office/drawing/2010/main" xmlns:asvg="http://schemas.microsoft.com/office/drawing/2016/SVG/main" mc:Ignorable="w14 w15 w16se w16cid w16 w16cex w16sdtdh w16sdtfl w16du wp14">
  <w:p w:rsidRPr="007305EA" w:rsidR="00A76C73" w:rsidP="009F69DD" w:rsidRDefault="001C10B7" w14:paraId="6561B14D" w14:textId="285A37D8">
    <w:pPr>
      <w:pStyle w:val="Encabezado"/>
    </w:pPr>
    <w:r w:rsidRPr="007305EA">
      <mc:AlternateContent>
        <mc:Choice Requires="wps">
          <w:drawing>
            <wp:anchor distT="0" distB="0" distL="0" distR="0" simplePos="0" relativeHeight="251658244" behindDoc="0" locked="0" layoutInCell="1" allowOverlap="1" wp14:anchorId="281D334F" wp14:editId="694B92F5">
              <wp:simplePos x="1623060" y="449580"/>
              <wp:positionH relativeFrom="page">
                <wp:align>center</wp:align>
              </wp:positionH>
              <wp:positionV relativeFrom="page">
                <wp:align>top</wp:align>
              </wp:positionV>
              <wp:extent cx="405765" cy="355600"/>
              <wp:effectExtent l="0" t="0" r="13335" b="6350"/>
              <wp:wrapNone/>
              <wp:docPr id="1786427490" name="Cuadro de texto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576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7305EA" w:rsidR="001C10B7" w:rsidP="001C10B7" w:rsidRDefault="001C10B7" w14:paraId="6CF1F425" w14:textId="19301233">
                          <w:pPr>
                            <w:rPr>
                              <w:rFonts w:ascii="Calibri" w:hAnsi="Calibri" w:eastAsia="Calibri" w:cs="Calibri"/>
                              <w:color w:val="000000"/>
                              <w:szCs w:val="20"/>
                            </w:rPr>
                          </w:pPr>
                          <w:r w:rsidRPr="007305EA">
                            <w:rPr>
                              <w:rFonts w:ascii="Calibri" w:hAnsi="Calibri" w:eastAsia="Calibri" w:cs="Calibri"/>
                              <w:color w:val="00000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w16cei="http://schemas.microsoft.com/office/word/2026/wordml/cei" xmlns:asvg="http://schemas.microsoft.com/office/drawing/2016/SVG/main" xmlns:a14="http://schemas.microsoft.com/office/drawing/2010/main" xmlns:pic="http://schemas.openxmlformats.org/drawingml/2006/picture" xmlns:aclsh="http://schemas.microsoft.com/office/drawing/2020/classificationShape" xmlns:a="http://schemas.openxmlformats.org/drawingml/2006/main">
          <w:pict w14:anchorId="795E96F8">
            <v:shapetype id="_x0000_t202" coordsize="21600,21600" o:spt="202" path="m,l,21600r21600,l21600,xe" w14:anchorId="281D334F">
              <v:stroke joinstyle="miter"/>
              <v:path gradientshapeok="t" o:connecttype="rect"/>
            </v:shapetype>
            <v:shape id="Cuadro de texto 1" style="position:absolute;margin-left:0;margin-top:0;width:31.95pt;height:28pt;z-index:25165824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Internal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">
              <v:textbox style="mso-fit-shape-to-text:t" inset="0,15pt,0,0">
                <w:txbxContent>
                  <w:p w:rsidRPr="007305EA" w:rsidR="001C10B7" w:rsidP="001C10B7" w:rsidRDefault="001C10B7" w14:paraId="7CBB83DA" w14:textId="19301233">
                    <w:pPr>
                      <w:rPr>
                        <w:rFonts w:ascii="Calibri" w:hAnsi="Calibri" w:eastAsia="Calibri" w:cs="Calibri"/>
                        <w:color w:val="000000"/>
                        <w:szCs w:val="20"/>
                      </w:rPr>
                    </w:pPr>
                    <w:r w:rsidRPr="007305EA">
                      <w:rPr>
                        <w:rFonts w:ascii="Calibri" w:hAnsi="Calibri" w:eastAsia="Calibri" w:cs="Calibri"/>
                        <w:color w:val="00000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7305EA" w:rsidR="00A76C73">
      <w:drawing>
        <wp:anchor distT="0" distB="0" distL="114300" distR="114300" simplePos="0" relativeHeight="251658242" behindDoc="0" locked="1" layoutInCell="1" allowOverlap="1" wp14:anchorId="62D9DC3C" wp14:editId="5AE2D3BF">
          <wp:simplePos x="0" y="0"/>
          <wp:positionH relativeFrom="page">
            <wp:posOffset>497840</wp:posOffset>
          </wp:positionH>
          <wp:positionV relativeFrom="page">
            <wp:posOffset>486410</wp:posOffset>
          </wp:positionV>
          <wp:extent cx="1439545" cy="359410"/>
          <wp:effectExtent l="0" t="0" r="8255" b="2540"/>
          <wp:wrapSquare wrapText="bothSides"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545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26E9"/>
    <w:multiLevelType w:val="hybridMultilevel"/>
    <w:tmpl w:val="5A2EF430"/>
    <w:lvl w:ilvl="0" w:tplc="5AC242A4">
      <w:start w:val="1"/>
      <w:numFmt w:val="bullet"/>
      <w:pStyle w:val="AZ-PList"/>
      <w:lvlText w:val="•"/>
      <w:lvlJc w:val="left"/>
      <w:pPr>
        <w:ind w:left="720" w:hanging="360"/>
      </w:pPr>
      <w:rPr>
        <w:rFonts w:hint="default" w:ascii="Allianz Neo" w:hAnsi="Allianz Neo"/>
        <w:color w:val="003781" w:themeColor="background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F7C2039"/>
    <w:multiLevelType w:val="hybridMultilevel"/>
    <w:tmpl w:val="A7584E7E"/>
    <w:lvl w:ilvl="0" w:tplc="437A2BF8">
      <w:start w:val="1"/>
      <w:numFmt w:val="decimal"/>
      <w:pStyle w:val="Prrafodelista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F37B26"/>
    <w:multiLevelType w:val="hybridMultilevel"/>
    <w:tmpl w:val="5614B2B4"/>
    <w:lvl w:ilvl="0" w:tplc="1A6C24AE">
      <w:start w:val="1"/>
      <w:numFmt w:val="bullet"/>
      <w:lvlText w:val=""/>
      <w:lvlJc w:val="left"/>
      <w:pPr>
        <w:ind w:left="1741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461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181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901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621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341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061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781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501" w:hanging="360"/>
      </w:pPr>
      <w:rPr>
        <w:rFonts w:hint="default" w:ascii="Wingdings" w:hAnsi="Wingdings"/>
      </w:rPr>
    </w:lvl>
  </w:abstractNum>
  <w:abstractNum w:abstractNumId="3" w15:restartNumberingAfterBreak="0">
    <w:nsid w:val="5F0E569E"/>
    <w:multiLevelType w:val="hybridMultilevel"/>
    <w:tmpl w:val="4408792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3B43353"/>
    <w:multiLevelType w:val="hybridMultilevel"/>
    <w:tmpl w:val="07B4EB2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900479300">
    <w:abstractNumId w:val="2"/>
  </w:num>
  <w:num w:numId="2" w16cid:durableId="1653870575">
    <w:abstractNumId w:val="1"/>
  </w:num>
  <w:num w:numId="3" w16cid:durableId="1984919546">
    <w:abstractNumId w:val="1"/>
  </w:num>
  <w:num w:numId="4" w16cid:durableId="1463033047">
    <w:abstractNumId w:val="0"/>
  </w:num>
  <w:num w:numId="5" w16cid:durableId="1970087216">
    <w:abstractNumId w:val="3"/>
  </w:num>
  <w:num w:numId="6" w16cid:durableId="970326748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attachedTemplate r:id="rId1"/>
  <w:stylePaneFormatFilter w:val="D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1" w:alternateStyleNames="1"/>
  <w:stylePaneSortMethod w:val="00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86C"/>
    <w:rsid w:val="000074E6"/>
    <w:rsid w:val="00007825"/>
    <w:rsid w:val="000200E3"/>
    <w:rsid w:val="0002719A"/>
    <w:rsid w:val="00036A5B"/>
    <w:rsid w:val="000373C1"/>
    <w:rsid w:val="000419D4"/>
    <w:rsid w:val="000441AC"/>
    <w:rsid w:val="00044441"/>
    <w:rsid w:val="00045A3B"/>
    <w:rsid w:val="00047BC2"/>
    <w:rsid w:val="00070BAA"/>
    <w:rsid w:val="00077EA0"/>
    <w:rsid w:val="00083FD4"/>
    <w:rsid w:val="00096FB4"/>
    <w:rsid w:val="000C2D55"/>
    <w:rsid w:val="000C3C7B"/>
    <w:rsid w:val="000E6184"/>
    <w:rsid w:val="000E6B9C"/>
    <w:rsid w:val="000F0E23"/>
    <w:rsid w:val="000F5C2B"/>
    <w:rsid w:val="001155D0"/>
    <w:rsid w:val="00133024"/>
    <w:rsid w:val="00137935"/>
    <w:rsid w:val="001400F2"/>
    <w:rsid w:val="00142B3A"/>
    <w:rsid w:val="001517EB"/>
    <w:rsid w:val="00156935"/>
    <w:rsid w:val="00175728"/>
    <w:rsid w:val="0019318F"/>
    <w:rsid w:val="00196902"/>
    <w:rsid w:val="001A1DB5"/>
    <w:rsid w:val="001A60DD"/>
    <w:rsid w:val="001C10B7"/>
    <w:rsid w:val="001E6D1C"/>
    <w:rsid w:val="002202C5"/>
    <w:rsid w:val="00230132"/>
    <w:rsid w:val="0024492E"/>
    <w:rsid w:val="002461FD"/>
    <w:rsid w:val="00274FDE"/>
    <w:rsid w:val="00283B54"/>
    <w:rsid w:val="002A0C15"/>
    <w:rsid w:val="002A6988"/>
    <w:rsid w:val="002B6FF5"/>
    <w:rsid w:val="002B7871"/>
    <w:rsid w:val="002C215C"/>
    <w:rsid w:val="002D275D"/>
    <w:rsid w:val="002D34EA"/>
    <w:rsid w:val="002D74F5"/>
    <w:rsid w:val="002F0681"/>
    <w:rsid w:val="002F4B2D"/>
    <w:rsid w:val="00304C55"/>
    <w:rsid w:val="0030797F"/>
    <w:rsid w:val="0031644F"/>
    <w:rsid w:val="003236DD"/>
    <w:rsid w:val="00327D08"/>
    <w:rsid w:val="00332FC3"/>
    <w:rsid w:val="0034286C"/>
    <w:rsid w:val="00343098"/>
    <w:rsid w:val="0037149F"/>
    <w:rsid w:val="003823F8"/>
    <w:rsid w:val="003A1442"/>
    <w:rsid w:val="003C3BC3"/>
    <w:rsid w:val="003F7394"/>
    <w:rsid w:val="00413C2A"/>
    <w:rsid w:val="00414B3B"/>
    <w:rsid w:val="004161CB"/>
    <w:rsid w:val="00426FAF"/>
    <w:rsid w:val="0043201B"/>
    <w:rsid w:val="00434485"/>
    <w:rsid w:val="00477E82"/>
    <w:rsid w:val="004879EB"/>
    <w:rsid w:val="0049541C"/>
    <w:rsid w:val="00497F68"/>
    <w:rsid w:val="004B19CF"/>
    <w:rsid w:val="004B71B4"/>
    <w:rsid w:val="004C71AD"/>
    <w:rsid w:val="004D06FB"/>
    <w:rsid w:val="004D7BCB"/>
    <w:rsid w:val="004E424C"/>
    <w:rsid w:val="004E5839"/>
    <w:rsid w:val="004E5EC7"/>
    <w:rsid w:val="004F5F4D"/>
    <w:rsid w:val="00503078"/>
    <w:rsid w:val="00505934"/>
    <w:rsid w:val="005072B6"/>
    <w:rsid w:val="0051443F"/>
    <w:rsid w:val="0051799E"/>
    <w:rsid w:val="00524270"/>
    <w:rsid w:val="0053768C"/>
    <w:rsid w:val="00562190"/>
    <w:rsid w:val="00563350"/>
    <w:rsid w:val="0057235E"/>
    <w:rsid w:val="00581168"/>
    <w:rsid w:val="00584675"/>
    <w:rsid w:val="005879DB"/>
    <w:rsid w:val="00592898"/>
    <w:rsid w:val="00592B78"/>
    <w:rsid w:val="00594730"/>
    <w:rsid w:val="005971FB"/>
    <w:rsid w:val="005A462F"/>
    <w:rsid w:val="005C6935"/>
    <w:rsid w:val="005D10A6"/>
    <w:rsid w:val="005D1439"/>
    <w:rsid w:val="005E66B0"/>
    <w:rsid w:val="005F07DC"/>
    <w:rsid w:val="005F5D45"/>
    <w:rsid w:val="0060561D"/>
    <w:rsid w:val="00620266"/>
    <w:rsid w:val="00630C7F"/>
    <w:rsid w:val="00660C0C"/>
    <w:rsid w:val="00680576"/>
    <w:rsid w:val="00685E57"/>
    <w:rsid w:val="00686CD6"/>
    <w:rsid w:val="00694D1A"/>
    <w:rsid w:val="006A565A"/>
    <w:rsid w:val="006B23B3"/>
    <w:rsid w:val="006B767D"/>
    <w:rsid w:val="006C4687"/>
    <w:rsid w:val="006C760F"/>
    <w:rsid w:val="006E1400"/>
    <w:rsid w:val="006E7818"/>
    <w:rsid w:val="006F14C0"/>
    <w:rsid w:val="007035AB"/>
    <w:rsid w:val="007128DB"/>
    <w:rsid w:val="007161F9"/>
    <w:rsid w:val="00716D0B"/>
    <w:rsid w:val="007251AD"/>
    <w:rsid w:val="00725D44"/>
    <w:rsid w:val="007305EA"/>
    <w:rsid w:val="00740D36"/>
    <w:rsid w:val="00743A14"/>
    <w:rsid w:val="007629A4"/>
    <w:rsid w:val="00765B2A"/>
    <w:rsid w:val="007A2E26"/>
    <w:rsid w:val="007A3DD9"/>
    <w:rsid w:val="007A4629"/>
    <w:rsid w:val="007A4A1A"/>
    <w:rsid w:val="007C00A1"/>
    <w:rsid w:val="007C14CF"/>
    <w:rsid w:val="007D01A7"/>
    <w:rsid w:val="007E2CE4"/>
    <w:rsid w:val="007E68DC"/>
    <w:rsid w:val="007F3F76"/>
    <w:rsid w:val="008109B4"/>
    <w:rsid w:val="008114AF"/>
    <w:rsid w:val="0081556A"/>
    <w:rsid w:val="00821F83"/>
    <w:rsid w:val="00827A62"/>
    <w:rsid w:val="00835E10"/>
    <w:rsid w:val="00851B1B"/>
    <w:rsid w:val="00853D8C"/>
    <w:rsid w:val="0085528A"/>
    <w:rsid w:val="008553C1"/>
    <w:rsid w:val="008560B3"/>
    <w:rsid w:val="0085702B"/>
    <w:rsid w:val="00860091"/>
    <w:rsid w:val="00860641"/>
    <w:rsid w:val="008640C9"/>
    <w:rsid w:val="00870C72"/>
    <w:rsid w:val="0089346F"/>
    <w:rsid w:val="00897966"/>
    <w:rsid w:val="008A1EA1"/>
    <w:rsid w:val="008A2466"/>
    <w:rsid w:val="008B03B4"/>
    <w:rsid w:val="008C1C4E"/>
    <w:rsid w:val="008C4E9B"/>
    <w:rsid w:val="008C6063"/>
    <w:rsid w:val="008D1A1F"/>
    <w:rsid w:val="008E3D27"/>
    <w:rsid w:val="00904D17"/>
    <w:rsid w:val="00932F63"/>
    <w:rsid w:val="0096535D"/>
    <w:rsid w:val="0097393A"/>
    <w:rsid w:val="00982189"/>
    <w:rsid w:val="009844A9"/>
    <w:rsid w:val="00985475"/>
    <w:rsid w:val="009A7429"/>
    <w:rsid w:val="009B16E6"/>
    <w:rsid w:val="009B32F6"/>
    <w:rsid w:val="009B4717"/>
    <w:rsid w:val="009B4723"/>
    <w:rsid w:val="009B4CB5"/>
    <w:rsid w:val="009D0A21"/>
    <w:rsid w:val="009E62A2"/>
    <w:rsid w:val="009F3681"/>
    <w:rsid w:val="009F69DD"/>
    <w:rsid w:val="00A24956"/>
    <w:rsid w:val="00A27974"/>
    <w:rsid w:val="00A42E83"/>
    <w:rsid w:val="00A44F6D"/>
    <w:rsid w:val="00A47C6B"/>
    <w:rsid w:val="00A718D0"/>
    <w:rsid w:val="00A76C73"/>
    <w:rsid w:val="00A81742"/>
    <w:rsid w:val="00A820DD"/>
    <w:rsid w:val="00A90B72"/>
    <w:rsid w:val="00A90DBF"/>
    <w:rsid w:val="00AA785C"/>
    <w:rsid w:val="00AB091F"/>
    <w:rsid w:val="00AB7E29"/>
    <w:rsid w:val="00AC56EC"/>
    <w:rsid w:val="00AE05C5"/>
    <w:rsid w:val="00AF1D62"/>
    <w:rsid w:val="00AF444D"/>
    <w:rsid w:val="00B1634E"/>
    <w:rsid w:val="00B17801"/>
    <w:rsid w:val="00B31878"/>
    <w:rsid w:val="00B36376"/>
    <w:rsid w:val="00B47102"/>
    <w:rsid w:val="00B55C7D"/>
    <w:rsid w:val="00B604AC"/>
    <w:rsid w:val="00B65E96"/>
    <w:rsid w:val="00B7055A"/>
    <w:rsid w:val="00B86ED7"/>
    <w:rsid w:val="00BA0952"/>
    <w:rsid w:val="00BA3CBC"/>
    <w:rsid w:val="00BA4CD8"/>
    <w:rsid w:val="00BC01E6"/>
    <w:rsid w:val="00BD1313"/>
    <w:rsid w:val="00BD281C"/>
    <w:rsid w:val="00BE1639"/>
    <w:rsid w:val="00BE45C1"/>
    <w:rsid w:val="00BF2991"/>
    <w:rsid w:val="00BF5976"/>
    <w:rsid w:val="00BF61C0"/>
    <w:rsid w:val="00C20FF1"/>
    <w:rsid w:val="00C37855"/>
    <w:rsid w:val="00C43950"/>
    <w:rsid w:val="00C601B7"/>
    <w:rsid w:val="00C61869"/>
    <w:rsid w:val="00C7096B"/>
    <w:rsid w:val="00C70F3C"/>
    <w:rsid w:val="00C71664"/>
    <w:rsid w:val="00C71E91"/>
    <w:rsid w:val="00C86133"/>
    <w:rsid w:val="00CB3A58"/>
    <w:rsid w:val="00CB7F4A"/>
    <w:rsid w:val="00CC6F0E"/>
    <w:rsid w:val="00CD6E77"/>
    <w:rsid w:val="00CE7654"/>
    <w:rsid w:val="00D04DE6"/>
    <w:rsid w:val="00D07285"/>
    <w:rsid w:val="00D076B3"/>
    <w:rsid w:val="00D11FFE"/>
    <w:rsid w:val="00D12F38"/>
    <w:rsid w:val="00D3118E"/>
    <w:rsid w:val="00D35B7F"/>
    <w:rsid w:val="00D35BE6"/>
    <w:rsid w:val="00D519D4"/>
    <w:rsid w:val="00D5427B"/>
    <w:rsid w:val="00D55C48"/>
    <w:rsid w:val="00D562FE"/>
    <w:rsid w:val="00D56A62"/>
    <w:rsid w:val="00D66498"/>
    <w:rsid w:val="00D72469"/>
    <w:rsid w:val="00DA6907"/>
    <w:rsid w:val="00DC2140"/>
    <w:rsid w:val="00DE1478"/>
    <w:rsid w:val="00DF6E90"/>
    <w:rsid w:val="00E0644E"/>
    <w:rsid w:val="00E16A7C"/>
    <w:rsid w:val="00E27BAA"/>
    <w:rsid w:val="00E30855"/>
    <w:rsid w:val="00E3092C"/>
    <w:rsid w:val="00E32097"/>
    <w:rsid w:val="00E3290C"/>
    <w:rsid w:val="00E354D1"/>
    <w:rsid w:val="00E35DB5"/>
    <w:rsid w:val="00E54338"/>
    <w:rsid w:val="00E5486B"/>
    <w:rsid w:val="00E549EE"/>
    <w:rsid w:val="00E56C66"/>
    <w:rsid w:val="00E63962"/>
    <w:rsid w:val="00E763A9"/>
    <w:rsid w:val="00E859F9"/>
    <w:rsid w:val="00E97FB8"/>
    <w:rsid w:val="00EA44BB"/>
    <w:rsid w:val="00EA48EC"/>
    <w:rsid w:val="00EB6C5C"/>
    <w:rsid w:val="00ED21A4"/>
    <w:rsid w:val="00ED4FB4"/>
    <w:rsid w:val="00EE4210"/>
    <w:rsid w:val="00EF6A49"/>
    <w:rsid w:val="00F16ADD"/>
    <w:rsid w:val="00F16BA3"/>
    <w:rsid w:val="00F21363"/>
    <w:rsid w:val="00F36305"/>
    <w:rsid w:val="00F4586B"/>
    <w:rsid w:val="00F658E7"/>
    <w:rsid w:val="00F70CA1"/>
    <w:rsid w:val="00F72E43"/>
    <w:rsid w:val="00F77599"/>
    <w:rsid w:val="00F93955"/>
    <w:rsid w:val="00FA103C"/>
    <w:rsid w:val="00FA2AA0"/>
    <w:rsid w:val="00FB31DA"/>
    <w:rsid w:val="00FB687C"/>
    <w:rsid w:val="00FC0412"/>
    <w:rsid w:val="00FC4145"/>
    <w:rsid w:val="00FC7F7C"/>
    <w:rsid w:val="00FD22D6"/>
    <w:rsid w:val="00FF0CFF"/>
    <w:rsid w:val="00FF218B"/>
    <w:rsid w:val="00FF57EC"/>
    <w:rsid w:val="37870D93"/>
    <w:rsid w:val="4479C06C"/>
    <w:rsid w:val="4C6379B4"/>
    <w:rsid w:val="5EBDA6BE"/>
    <w:rsid w:val="7EEAA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209507"/>
  <w15:chartTrackingRefBased/>
  <w15:docId w15:val="{EB7A82DF-DD2F-4A4D-86EA-3B3F30E0E6B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18"/>
        <w:szCs w:val="18"/>
        <w:lang w:val="de-DE" w:eastAsia="en-US" w:bidi="ar-SA"/>
      </w:rPr>
    </w:rPrDefault>
    <w:pPrDefault>
      <w:pPr>
        <w:spacing w:line="2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 w:qFormat="1"/>
    <w:lsdException w:name="heading 3" w:uiPriority="9" w:semiHidden="1" w:qFormat="1"/>
    <w:lsdException w:name="heading 4" w:uiPriority="9" w:semiHidden="1" w:qFormat="1"/>
    <w:lsdException w:name="heading 5" w:uiPriority="9" w:semiHidden="1" w:qFormat="1"/>
    <w:lsdException w:name="heading 6" w:uiPriority="9" w:semiHidden="1" w:qFormat="1"/>
    <w:lsdException w:name="heading 7" w:uiPriority="9" w:semiHidden="1" w:qFormat="1"/>
    <w:lsdException w:name="heading 8" w:uiPriority="9" w:semiHidden="1" w:qFormat="1"/>
    <w:lsdException w:name="heading 9" w:uiPriority="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 w:semiHidden="1"/>
    <w:lsdException w:name="toc 2" w:uiPriority="39" w:semiHidden="1"/>
    <w:lsdException w:name="toc 3" w:uiPriority="39" w:semiHidden="1"/>
    <w:lsdException w:name="toc 4" w:uiPriority="39" w:semiHidden="1"/>
    <w:lsdException w:name="toc 5" w:uiPriority="39" w:semiHidden="1"/>
    <w:lsdException w:name="toc 6" w:uiPriority="39" w:semiHidden="1"/>
    <w:lsdException w:name="toc 7" w:uiPriority="39" w:semiHidden="1"/>
    <w:lsdException w:name="toc 8" w:uiPriority="39" w:semiHidden="1"/>
    <w:lsdException w:name="toc 9" w:uiPriority="39" w:semiHidden="1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uiPriority="35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semiHidden="1" w:qFormat="1"/>
    <w:lsdException w:name="Closing" w:semiHidden="1"/>
    <w:lsdException w:name="Signature" w:semiHidden="1"/>
    <w:lsdException w:name="Default Paragraph Font" w:uiPriority="1" w:semiHidden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uiPriority="0" w:semiHidden="1"/>
    <w:lsdException w:name="FollowedHyperlink" w:semiHidden="1"/>
    <w:lsdException w:name="Strong" w:uiPriority="22" w:semiHidden="1" w:qFormat="1"/>
    <w:lsdException w:name="Emphasis" w:uiPriority="20" w:semiHidden="1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semiHidden="1" w:qFormat="1"/>
    <w:lsdException w:name="Intense Quote" w:uiPriority="30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qFormat="1"/>
    <w:lsdException w:name="Intense Emphasis" w:uiPriority="21" w:semiHidden="1" w:qFormat="1"/>
    <w:lsdException w:name="Subtle Reference" w:uiPriority="31" w:semiHidden="1" w:qFormat="1"/>
    <w:lsdException w:name="Intense Reference" w:uiPriority="32" w:semiHidden="1" w:qFormat="1"/>
    <w:lsdException w:name="Book Title" w:uiPriority="33" w:semiHidden="1" w:qFormat="1"/>
    <w:lsdException w:name="Bibliography" w:uiPriority="37" w:semiHidden="1"/>
    <w:lsdException w:name="TOC Heading" w:uiPriority="39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styleId="Normal" w:default="1">
    <w:name w:val="Normal"/>
    <w:aliases w:val="AZ-P Text"/>
    <w:qFormat/>
    <w:rsid w:val="00982189"/>
    <w:pPr>
      <w:spacing w:line="260" w:lineRule="atLeast"/>
    </w:pPr>
    <w:rPr>
      <w:noProof/>
      <w:sz w:val="20"/>
      <w:lang w:val="es-ES"/>
    </w:rPr>
  </w:style>
  <w:style w:type="paragraph" w:styleId="Ttulo1">
    <w:name w:val="heading 1"/>
    <w:aliases w:val="AZ-P Headline Level 1"/>
    <w:basedOn w:val="Normal"/>
    <w:next w:val="Normal"/>
    <w:link w:val="Ttulo1Car"/>
    <w:uiPriority w:val="9"/>
    <w:rsid w:val="00BA3CBC"/>
    <w:pPr>
      <w:keepNext/>
      <w:keepLines/>
      <w:spacing w:after="1130" w:line="800" w:lineRule="exact"/>
      <w:ind w:left="-29" w:hanging="1814"/>
      <w:outlineLvl w:val="0"/>
    </w:pPr>
    <w:rPr>
      <w:rFonts w:asciiTheme="majorHAnsi" w:hAnsiTheme="majorHAnsi" w:eastAsiaTheme="majorEastAsia" w:cstheme="majorBidi"/>
      <w:color w:val="CFCFCF" w:themeColor="text2"/>
      <w:sz w:val="86"/>
      <w:szCs w:val="32"/>
    </w:rPr>
  </w:style>
  <w:style w:type="paragraph" w:styleId="Ttulo2">
    <w:name w:val="heading 2"/>
    <w:aliases w:val="AZ-P Headline Level 2"/>
    <w:basedOn w:val="Ttulo1"/>
    <w:next w:val="Normal"/>
    <w:link w:val="Ttulo2Car"/>
    <w:uiPriority w:val="9"/>
    <w:qFormat/>
    <w:rsid w:val="003236DD"/>
    <w:pPr>
      <w:keepNext w:val="0"/>
      <w:spacing w:before="240" w:after="0" w:line="300" w:lineRule="exact"/>
      <w:ind w:left="0" w:firstLine="0"/>
      <w:outlineLvl w:val="1"/>
    </w:pPr>
    <w:rPr>
      <w:b/>
      <w:color w:val="003781" w:themeColor="background1"/>
      <w:sz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semiHidden/>
    <w:rsid w:val="00AA785C"/>
    <w:pPr>
      <w:numPr>
        <w:numId w:val="3"/>
      </w:numPr>
      <w:spacing w:after="280" w:line="280" w:lineRule="atLeast"/>
      <w:contextualSpacing/>
    </w:pPr>
    <w:rPr>
      <w:color w:val="CFCFCF" w:themeColor="text2"/>
    </w:rPr>
  </w:style>
  <w:style w:type="character" w:styleId="Ttulo1Car" w:customStyle="1">
    <w:name w:val="Título 1 Car"/>
    <w:aliases w:val="AZ-P Headline Level 1 Car"/>
    <w:basedOn w:val="Fuentedeprrafopredeter"/>
    <w:link w:val="Ttulo1"/>
    <w:uiPriority w:val="9"/>
    <w:rsid w:val="00BA3CBC"/>
    <w:rPr>
      <w:rFonts w:asciiTheme="majorHAnsi" w:hAnsiTheme="majorHAnsi" w:eastAsiaTheme="majorEastAsia" w:cstheme="majorBidi"/>
      <w:color w:val="CFCFCF" w:themeColor="text2"/>
      <w:sz w:val="86"/>
      <w:szCs w:val="32"/>
      <w:lang w:val="en-GB"/>
    </w:rPr>
  </w:style>
  <w:style w:type="character" w:styleId="AZ-TBrandColorBlue3" w:customStyle="1">
    <w:name w:val="AZ-T Brand Color Blue 3"/>
    <w:uiPriority w:val="1"/>
    <w:qFormat/>
    <w:rsid w:val="006C760F"/>
    <w:rPr>
      <w:color w:val="13A0D3" w:themeColor="accent4"/>
    </w:rPr>
  </w:style>
  <w:style w:type="character" w:styleId="Ttulo2Car" w:customStyle="1">
    <w:name w:val="Título 2 Car"/>
    <w:aliases w:val="AZ-P Headline Level 2 Car"/>
    <w:basedOn w:val="Fuentedeprrafopredeter"/>
    <w:link w:val="Ttulo2"/>
    <w:uiPriority w:val="9"/>
    <w:rsid w:val="003236DD"/>
    <w:rPr>
      <w:rFonts w:asciiTheme="majorHAnsi" w:hAnsiTheme="majorHAnsi" w:eastAsiaTheme="majorEastAsia" w:cstheme="majorBidi"/>
      <w:b/>
      <w:color w:val="003781" w:themeColor="background1"/>
      <w:sz w:val="20"/>
      <w:szCs w:val="32"/>
      <w:lang w:val="en-US"/>
    </w:rPr>
  </w:style>
  <w:style w:type="paragraph" w:styleId="AZ-PSender" w:customStyle="1">
    <w:name w:val="AZ-P Sender"/>
    <w:basedOn w:val="Normal"/>
    <w:link w:val="AZ-PSenderZchn"/>
    <w:qFormat/>
    <w:rsid w:val="00F77599"/>
  </w:style>
  <w:style w:type="paragraph" w:styleId="Encabezado">
    <w:name w:val="header"/>
    <w:basedOn w:val="Normal"/>
    <w:link w:val="EncabezadoCar"/>
    <w:uiPriority w:val="99"/>
    <w:semiHidden/>
    <w:rsid w:val="00F77599"/>
    <w:pPr>
      <w:tabs>
        <w:tab w:val="center" w:pos="4536"/>
        <w:tab w:val="right" w:pos="9072"/>
      </w:tabs>
      <w:spacing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semiHidden/>
    <w:rsid w:val="005A462F"/>
    <w:rPr>
      <w:sz w:val="30"/>
      <w:lang w:val="en-GB"/>
    </w:rPr>
  </w:style>
  <w:style w:type="paragraph" w:styleId="Piedepgina">
    <w:name w:val="footer"/>
    <w:aliases w:val="AT-P Footer"/>
    <w:basedOn w:val="Normal"/>
    <w:link w:val="PiedepginaCar"/>
    <w:uiPriority w:val="99"/>
    <w:rsid w:val="003236DD"/>
    <w:pPr>
      <w:tabs>
        <w:tab w:val="center" w:pos="4536"/>
        <w:tab w:val="right" w:pos="9072"/>
      </w:tabs>
      <w:spacing w:line="180" w:lineRule="exact"/>
    </w:pPr>
    <w:rPr>
      <w:color w:val="003781" w:themeColor="background1"/>
      <w:sz w:val="14"/>
    </w:rPr>
  </w:style>
  <w:style w:type="character" w:styleId="PiedepginaCar" w:customStyle="1">
    <w:name w:val="Pie de página Car"/>
    <w:aliases w:val="AT-P Footer Car"/>
    <w:basedOn w:val="Fuentedeprrafopredeter"/>
    <w:link w:val="Piedepgina"/>
    <w:uiPriority w:val="99"/>
    <w:rsid w:val="003236DD"/>
    <w:rPr>
      <w:color w:val="003781" w:themeColor="background1"/>
      <w:sz w:val="14"/>
      <w:lang w:val="en-US"/>
    </w:rPr>
  </w:style>
  <w:style w:type="paragraph" w:styleId="AZ-PCompany" w:customStyle="1">
    <w:name w:val="AZ-P Company"/>
    <w:basedOn w:val="Normal"/>
    <w:qFormat/>
    <w:rsid w:val="003C3BC3"/>
    <w:pPr>
      <w:spacing w:before="60" w:after="360"/>
      <w:ind w:left="-1843"/>
    </w:pPr>
    <w:rPr>
      <w:rFonts w:ascii="Allianz Neo SemiBold" w:hAnsi="Allianz Neo SemiBold"/>
      <w:caps/>
      <w:color w:val="003781" w:themeColor="background1"/>
      <w:spacing w:val="16"/>
    </w:rPr>
  </w:style>
  <w:style w:type="character" w:styleId="Textodelmarcadordeposicin">
    <w:name w:val="Placeholder Text"/>
    <w:basedOn w:val="Fuentedeprrafopredeter"/>
    <w:uiPriority w:val="99"/>
    <w:semiHidden/>
    <w:rsid w:val="00C71E91"/>
    <w:rPr>
      <w:color w:val="808080"/>
    </w:rPr>
  </w:style>
  <w:style w:type="paragraph" w:styleId="AZ-PDate" w:customStyle="1">
    <w:name w:val="AZ-P Date"/>
    <w:basedOn w:val="AZ-PSender"/>
    <w:link w:val="AZ-PDateZchn"/>
    <w:qFormat/>
    <w:rsid w:val="003236DD"/>
    <w:pPr>
      <w:framePr w:w="1814" w:wrap="around" w:hAnchor="page" w:vAnchor="text" w:y="1"/>
      <w:spacing w:before="20"/>
      <w:contextualSpacing/>
    </w:pPr>
    <w:rPr>
      <w:color w:val="003781" w:themeColor="background1"/>
    </w:rPr>
  </w:style>
  <w:style w:type="paragraph" w:styleId="Subttulo">
    <w:name w:val="Subtitle"/>
    <w:aliases w:val="AZ-P Subtitle"/>
    <w:basedOn w:val="Normal"/>
    <w:next w:val="Normal"/>
    <w:link w:val="SubttuloCar"/>
    <w:uiPriority w:val="11"/>
    <w:qFormat/>
    <w:rsid w:val="003236DD"/>
    <w:pPr>
      <w:numPr>
        <w:ilvl w:val="1"/>
      </w:numPr>
      <w:spacing w:after="240" w:line="360" w:lineRule="exact"/>
    </w:pPr>
    <w:rPr>
      <w:rFonts w:eastAsiaTheme="minorEastAsia"/>
      <w:b/>
      <w:color w:val="003781" w:themeColor="background1"/>
      <w:sz w:val="30"/>
      <w:szCs w:val="22"/>
    </w:rPr>
  </w:style>
  <w:style w:type="character" w:styleId="SubttuloCar" w:customStyle="1">
    <w:name w:val="Subtítulo Car"/>
    <w:aliases w:val="AZ-P Subtitle Car"/>
    <w:basedOn w:val="Fuentedeprrafopredeter"/>
    <w:link w:val="Subttulo"/>
    <w:uiPriority w:val="11"/>
    <w:rsid w:val="003236DD"/>
    <w:rPr>
      <w:rFonts w:eastAsiaTheme="minorEastAsia"/>
      <w:b/>
      <w:color w:val="003781" w:themeColor="background1"/>
      <w:sz w:val="30"/>
      <w:szCs w:val="22"/>
      <w:lang w:val="en-US"/>
    </w:rPr>
  </w:style>
  <w:style w:type="paragraph" w:styleId="AZ-PList" w:customStyle="1">
    <w:name w:val="AZ-P List"/>
    <w:basedOn w:val="Normal"/>
    <w:qFormat/>
    <w:rsid w:val="00E354D1"/>
    <w:pPr>
      <w:numPr>
        <w:numId w:val="4"/>
      </w:numPr>
      <w:spacing w:line="312" w:lineRule="atLeast"/>
      <w:ind w:left="170" w:hanging="170"/>
    </w:pPr>
    <w:rPr>
      <w:b/>
      <w:color w:val="003781" w:themeColor="background1"/>
      <w:sz w:val="24"/>
    </w:rPr>
  </w:style>
  <w:style w:type="table" w:styleId="Tablaconcuadrcula">
    <w:name w:val="Table Grid"/>
    <w:basedOn w:val="Tablanormal"/>
    <w:uiPriority w:val="39"/>
    <w:rsid w:val="007251AD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Z-PSmall" w:customStyle="1">
    <w:name w:val="AZ-P Small"/>
    <w:basedOn w:val="Normal"/>
    <w:qFormat/>
    <w:rsid w:val="00070BAA"/>
    <w:pPr>
      <w:spacing w:line="168" w:lineRule="exact"/>
    </w:pPr>
    <w:rPr>
      <w:color w:val="414141" w:themeColor="background2"/>
      <w:spacing w:val="1"/>
      <w:sz w:val="14"/>
    </w:rPr>
  </w:style>
  <w:style w:type="table" w:styleId="AZPressContact" w:customStyle="1">
    <w:name w:val="AZ PressContact"/>
    <w:basedOn w:val="Tablanormal"/>
    <w:uiPriority w:val="99"/>
    <w:rsid w:val="0037149F"/>
    <w:pPr>
      <w:spacing w:line="260" w:lineRule="exact"/>
    </w:pPr>
    <w:rPr>
      <w:color w:val="CFCFCF" w:themeColor="text2"/>
      <w:sz w:val="20"/>
    </w:rPr>
    <w:tblPr>
      <w:tblBorders>
        <w:top w:val="single" w:color="CFCFCF" w:themeColor="text2" w:sz="4" w:space="0"/>
        <w:bottom w:val="single" w:color="CFCFCF" w:themeColor="text2" w:sz="4" w:space="0"/>
      </w:tblBorders>
      <w:tblCellMar>
        <w:top w:w="312" w:type="dxa"/>
        <w:left w:w="0" w:type="dxa"/>
        <w:bottom w:w="312" w:type="dxa"/>
        <w:right w:w="0" w:type="dxa"/>
      </w:tblCellMar>
    </w:tblPr>
  </w:style>
  <w:style w:type="paragraph" w:styleId="AZ-PHeadlineLevel2Small" w:customStyle="1">
    <w:name w:val="AZ-P Headline Level 2 Small"/>
    <w:basedOn w:val="Ttulo2"/>
    <w:qFormat/>
    <w:rsid w:val="001155D0"/>
    <w:pPr>
      <w:keepNext/>
      <w:pBdr>
        <w:top w:val="single" w:color="003781" w:themeColor="background1" w:sz="4" w:space="12"/>
      </w:pBdr>
      <w:spacing w:before="0"/>
    </w:pPr>
    <w:rPr>
      <w:sz w:val="14"/>
      <w:szCs w:val="14"/>
    </w:rPr>
  </w:style>
  <w:style w:type="paragraph" w:styleId="StyleHeading1" w:customStyle="1">
    <w:name w:val="Style Heading 1"/>
    <w:aliases w:val="AZ-P Headline Level 1 + Line spacing:  Exactly 48 pt"/>
    <w:basedOn w:val="Ttulo1"/>
    <w:rsid w:val="007A4A1A"/>
    <w:pPr>
      <w:spacing w:after="720" w:line="660" w:lineRule="exact"/>
    </w:pPr>
    <w:rPr>
      <w:rFonts w:eastAsia="Times New Roman" w:cs="Times New Roman"/>
      <w:color w:val="003781" w:themeColor="background1"/>
      <w:sz w:val="60"/>
      <w:szCs w:val="20"/>
    </w:rPr>
  </w:style>
  <w:style w:type="character" w:styleId="StyleText2" w:customStyle="1">
    <w:name w:val="Style Text 2"/>
    <w:basedOn w:val="Fuentedeprrafopredeter"/>
    <w:rsid w:val="003236DD"/>
    <w:rPr>
      <w:color w:val="003781" w:themeColor="background1"/>
      <w:lang w:val="en-US"/>
    </w:rPr>
  </w:style>
  <w:style w:type="character" w:styleId="StyleBoldText2" w:customStyle="1">
    <w:name w:val="Style Bold Text 2"/>
    <w:basedOn w:val="Fuentedeprrafopredeter"/>
    <w:rsid w:val="003236DD"/>
    <w:rPr>
      <w:b/>
      <w:bCs/>
      <w:color w:val="003781" w:themeColor="background1"/>
      <w:lang w:val="en-US"/>
    </w:rPr>
  </w:style>
  <w:style w:type="character" w:styleId="StyleBackground1" w:customStyle="1">
    <w:name w:val="Style Background 1"/>
    <w:basedOn w:val="Fuentedeprrafopredeter"/>
    <w:rsid w:val="00860091"/>
    <w:rPr>
      <w:color w:val="003781" w:themeColor="background1"/>
      <w:lang w:val="en-US"/>
    </w:rPr>
  </w:style>
  <w:style w:type="paragraph" w:styleId="TABtext" w:customStyle="1">
    <w:name w:val="TABtext"/>
    <w:basedOn w:val="Normal"/>
    <w:qFormat/>
    <w:rsid w:val="00B1634E"/>
    <w:pPr>
      <w:spacing w:after="220" w:line="250" w:lineRule="auto"/>
    </w:pPr>
    <w:rPr>
      <w:rFonts w:eastAsia="SimSun"/>
      <w:noProof w:val="0"/>
      <w:color w:val="414141"/>
      <w:sz w:val="18"/>
    </w:rPr>
  </w:style>
  <w:style w:type="paragraph" w:styleId="TABhead" w:customStyle="1">
    <w:name w:val="TABhead"/>
    <w:basedOn w:val="TABtext"/>
    <w:qFormat/>
    <w:rsid w:val="00B1634E"/>
    <w:pPr>
      <w:spacing w:after="0"/>
    </w:pPr>
    <w:rPr>
      <w:b/>
      <w:bCs/>
    </w:rPr>
  </w:style>
  <w:style w:type="paragraph" w:styleId="Endlogo" w:customStyle="1">
    <w:name w:val="Endlogo"/>
    <w:basedOn w:val="TABtext"/>
    <w:qFormat/>
    <w:rsid w:val="00B1634E"/>
    <w:pPr>
      <w:spacing w:before="480" w:after="0" w:line="240" w:lineRule="auto"/>
    </w:pPr>
  </w:style>
  <w:style w:type="paragraph" w:styleId="AZ-PDate2" w:customStyle="1">
    <w:name w:val="AZ-P Date2"/>
    <w:basedOn w:val="AZ-PDate"/>
    <w:link w:val="AZ-PDate2Zchn"/>
    <w:qFormat/>
    <w:rsid w:val="00497F68"/>
    <w:pPr>
      <w:framePr w:wrap="around"/>
      <w:spacing w:before="0"/>
    </w:pPr>
  </w:style>
  <w:style w:type="character" w:styleId="AZ-PSenderZchn" w:customStyle="1">
    <w:name w:val="AZ-P Sender Zchn"/>
    <w:basedOn w:val="Fuentedeprrafopredeter"/>
    <w:link w:val="AZ-PSender"/>
    <w:rsid w:val="00497F68"/>
    <w:rPr>
      <w:noProof/>
      <w:sz w:val="20"/>
      <w:lang w:val="en-US"/>
    </w:rPr>
  </w:style>
  <w:style w:type="character" w:styleId="AZ-PDateZchn" w:customStyle="1">
    <w:name w:val="AZ-P Date Zchn"/>
    <w:basedOn w:val="AZ-PSenderZchn"/>
    <w:link w:val="AZ-PDate"/>
    <w:rsid w:val="00497F68"/>
    <w:rPr>
      <w:noProof/>
      <w:color w:val="003781" w:themeColor="background1"/>
      <w:sz w:val="20"/>
      <w:lang w:val="en-US"/>
    </w:rPr>
  </w:style>
  <w:style w:type="character" w:styleId="AZ-PDate2Zchn" w:customStyle="1">
    <w:name w:val="AZ-P Date2 Zchn"/>
    <w:basedOn w:val="AZ-PDateZchn"/>
    <w:link w:val="AZ-PDate2"/>
    <w:rsid w:val="00497F68"/>
    <w:rPr>
      <w:noProof/>
      <w:color w:val="003781" w:themeColor="background1"/>
      <w:sz w:val="20"/>
      <w:lang w:val="en-US"/>
    </w:rPr>
  </w:style>
  <w:style w:type="character" w:styleId="Hipervnculo">
    <w:name w:val="Hyperlink"/>
    <w:rsid w:val="00FF57EC"/>
    <w:rPr>
      <w:color w:val="0000FF"/>
      <w:u w:val="single"/>
    </w:rPr>
  </w:style>
  <w:style w:type="character" w:styleId="Refdecomentario">
    <w:name w:val="annotation reference"/>
    <w:uiPriority w:val="99"/>
    <w:semiHidden/>
    <w:unhideWhenUsed/>
    <w:rsid w:val="00FF57E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F57EC"/>
    <w:pPr>
      <w:spacing w:line="240" w:lineRule="auto"/>
    </w:pPr>
    <w:rPr>
      <w:rFonts w:ascii="Arial" w:hAnsi="Arial" w:eastAsia="Times New Roman" w:cs="Times New Roman"/>
      <w:noProof w:val="0"/>
      <w:szCs w:val="20"/>
      <w:lang w:eastAsia="de-DE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FF57EC"/>
    <w:rPr>
      <w:rFonts w:ascii="Arial" w:hAnsi="Arial" w:eastAsia="Times New Roman" w:cs="Times New Roman"/>
      <w:sz w:val="20"/>
      <w:szCs w:val="20"/>
      <w:lang w:val="es-ES" w:eastAsia="de-DE"/>
    </w:rPr>
  </w:style>
  <w:style w:type="character" w:styleId="Mencinsinresolver">
    <w:name w:val="Unresolved Mention"/>
    <w:basedOn w:val="Fuentedeprrafopredeter"/>
    <w:uiPriority w:val="99"/>
    <w:semiHidden/>
    <w:rsid w:val="001A60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1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yperlink" Target="https://www.allianz.es/" TargetMode="External" Id="rId13" /><Relationship Type="http://schemas.openxmlformats.org/officeDocument/2006/relationships/header" Target="header3.xml" Id="rId18" /><Relationship Type="http://schemas.openxmlformats.org/officeDocument/2006/relationships/customXml" Target="../customXml/item3.xml" Id="rId3" /><Relationship Type="http://schemas.openxmlformats.org/officeDocument/2006/relationships/glossaryDocument" Target="glossary/document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header" Target="header2.xml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customXml" Target="../customXml/item6.xml" Id="rId6" /><Relationship Type="http://schemas.openxmlformats.org/officeDocument/2006/relationships/footnotes" Target="footnotes.xml" Id="rId11" /><Relationship Type="http://schemas.openxmlformats.org/officeDocument/2006/relationships/customXml" Target="../customXml/item5.xml" Id="rId5" /><Relationship Type="http://schemas.openxmlformats.org/officeDocument/2006/relationships/header" Target="header1.xml" Id="rId15" /><Relationship Type="http://schemas.openxmlformats.org/officeDocument/2006/relationships/webSettings" Target="webSettings.xml" Id="rId10" /><Relationship Type="http://schemas.openxmlformats.org/officeDocument/2006/relationships/footer" Target="footer2.xml" Id="rId19" /><Relationship Type="http://schemas.openxmlformats.org/officeDocument/2006/relationships/customXml" Target="../customXml/item4.xml" Id="rId4" /><Relationship Type="http://schemas.openxmlformats.org/officeDocument/2006/relationships/settings" Target="settings.xml" Id="rId9" /><Relationship Type="http://schemas.openxmlformats.org/officeDocument/2006/relationships/hyperlink" Target="https://www.allianz.com/en/mediacenter/disclaimer.html" TargetMode="External" Id="rId14" /><Relationship Type="http://schemas.openxmlformats.org/officeDocument/2006/relationships/theme" Target="theme/theme1.xml" Id="rId22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107708\AppData\Local\Temp\4ab7566c-2522-4d3f-bb82-81f1743dadaf_AZ_Press_Release_Standard.dotx.zip.daf\AZ_Press_Release_Standar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7C3E0BF40AB4F609A145EB81F5460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D1A550-E668-449E-9316-D5A9500520B5}"/>
      </w:docPartPr>
      <w:docPartBody>
        <w:p xmlns:wp14="http://schemas.microsoft.com/office/word/2010/wordml" w:rsidR="00E0644E" w:rsidRDefault="00E0644E" w14:paraId="4F46C010" wp14:textId="77777777">
          <w:pPr>
            <w:pStyle w:val="E7C3E0BF40AB4F609A145EB81F54600E"/>
          </w:pPr>
          <w:r w:rsidRPr="00322BEF">
            <w:rPr>
              <w:rStyle w:val="Textodelmarcadordeposicin"/>
            </w:rPr>
            <w:t>[Firmenadresse]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llianz Neo">
    <w:panose1 w:val="020B0504020203020204"/>
    <w:charset w:val="00"/>
    <w:family w:val="swiss"/>
    <w:pitch w:val="variable"/>
    <w:sig w:usb0="A0000067" w:usb1="00000001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llianz Neo SemiBold">
    <w:charset w:val="00"/>
    <w:family w:val="swiss"/>
    <w:pitch w:val="variable"/>
    <w:sig w:usb0="A0000067" w:usb1="00000001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097"/>
    <w:rsid w:val="00260A7B"/>
    <w:rsid w:val="003823F8"/>
    <w:rsid w:val="00413009"/>
    <w:rsid w:val="00503078"/>
    <w:rsid w:val="00572E2E"/>
    <w:rsid w:val="005879DB"/>
    <w:rsid w:val="005F5D45"/>
    <w:rsid w:val="006B23B3"/>
    <w:rsid w:val="006E6377"/>
    <w:rsid w:val="00741A30"/>
    <w:rsid w:val="00754097"/>
    <w:rsid w:val="008A773A"/>
    <w:rsid w:val="00B7055A"/>
    <w:rsid w:val="00CA4C8D"/>
    <w:rsid w:val="00D44261"/>
    <w:rsid w:val="00E0644E"/>
    <w:rsid w:val="00E54338"/>
    <w:rsid w:val="00EA48EC"/>
    <w:rsid w:val="00F65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paragraph" w:customStyle="1" w:styleId="E7C3E0BF40AB4F609A145EB81F54600E">
    <w:name w:val="E7C3E0BF40AB4F609A145EB81F5460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Alianz1">
  <a:themeElements>
    <a:clrScheme name="Custom 21">
      <a:dk1>
        <a:srgbClr val="FFFFFF"/>
      </a:dk1>
      <a:lt1>
        <a:srgbClr val="003781"/>
      </a:lt1>
      <a:dk2>
        <a:srgbClr val="CFCFCF"/>
      </a:dk2>
      <a:lt2>
        <a:srgbClr val="414141"/>
      </a:lt2>
      <a:accent1>
        <a:srgbClr val="122B54"/>
      </a:accent1>
      <a:accent2>
        <a:srgbClr val="006192"/>
      </a:accent2>
      <a:accent3>
        <a:srgbClr val="007AB3"/>
      </a:accent3>
      <a:accent4>
        <a:srgbClr val="13A0D3"/>
      </a:accent4>
      <a:accent5>
        <a:srgbClr val="B5DAE6"/>
      </a:accent5>
      <a:accent6>
        <a:srgbClr val="DFEFF2"/>
      </a:accent6>
      <a:hlink>
        <a:srgbClr val="003781"/>
      </a:hlink>
      <a:folHlink>
        <a:srgbClr val="B4B4B4"/>
      </a:folHlink>
    </a:clrScheme>
    <a:fontScheme name="Custom 3">
      <a:majorFont>
        <a:latin typeface="Allianz Neo"/>
        <a:ea typeface=""/>
        <a:cs typeface=""/>
      </a:majorFont>
      <a:minorFont>
        <a:latin typeface="Allianz Neo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122B54"/>
        </a:solidFill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 anchor="t" anchorCtr="0">
        <a:noAutofit/>
      </a:bodyPr>
      <a:lstStyle>
        <a:defPPr algn="l">
          <a:defRPr sz="1600" smtClean="0">
            <a:solidFill>
              <a:schemeClr val="bg1"/>
            </a:solidFill>
          </a:defRPr>
        </a:defPPr>
      </a:lstStyle>
    </a:txDef>
  </a:objectDefaults>
  <a:extraClrSchemeLst>
    <a:extraClrScheme>
      <a:clrScheme name="AllianzBlue">
        <a:dk1>
          <a:srgbClr val="003781"/>
        </a:dk1>
        <a:lt1>
          <a:srgbClr val="FFFFFF"/>
        </a:lt1>
        <a:dk2>
          <a:srgbClr val="414141"/>
        </a:dk2>
        <a:lt2>
          <a:srgbClr val="CFCFCF"/>
        </a:lt2>
        <a:accent1>
          <a:srgbClr val="122B54"/>
        </a:accent1>
        <a:accent2>
          <a:srgbClr val="006192"/>
        </a:accent2>
        <a:accent3>
          <a:srgbClr val="007AB3"/>
        </a:accent3>
        <a:accent4>
          <a:srgbClr val="13A0D3"/>
        </a:accent4>
        <a:accent5>
          <a:srgbClr val="B5DAE6"/>
        </a:accent5>
        <a:accent6>
          <a:srgbClr val="DFEFF2"/>
        </a:accent6>
        <a:hlink>
          <a:srgbClr val="003781"/>
        </a:hlink>
        <a:folHlink>
          <a:srgbClr val="B4B4B4"/>
        </a:folHlink>
      </a:clrScheme>
    </a:extraClrScheme>
    <a:extraClrScheme>
      <a:clrScheme name="AllianzVibrant">
        <a:dk1>
          <a:srgbClr val="003781"/>
        </a:dk1>
        <a:lt1>
          <a:srgbClr val="FFFFFF"/>
        </a:lt1>
        <a:dk2>
          <a:srgbClr val="414141"/>
        </a:dk2>
        <a:lt2>
          <a:srgbClr val="CFCFCF"/>
        </a:lt2>
        <a:accent1>
          <a:srgbClr val="00908D"/>
        </a:accent1>
        <a:accent2>
          <a:srgbClr val="5FCD8A"/>
        </a:accent2>
        <a:accent3>
          <a:srgbClr val="A6276F"/>
        </a:accent3>
        <a:accent4>
          <a:srgbClr val="F62459"/>
        </a:accent4>
        <a:accent5>
          <a:srgbClr val="F86200"/>
        </a:accent5>
        <a:accent6>
          <a:srgbClr val="FAB600"/>
        </a:accent6>
        <a:hlink>
          <a:srgbClr val="003781"/>
        </a:hlink>
        <a:folHlink>
          <a:srgbClr val="B4B4B4"/>
        </a:folHlink>
      </a:clrScheme>
    </a:extraClrScheme>
  </a:extraClrSchemeLst>
  <a:custClrLst>
    <a:custClr name="rgb(18,43,84)">
      <a:srgbClr val="122B54"/>
    </a:custClr>
    <a:custClr name="rgb(0,97,146)">
      <a:srgbClr val="006192"/>
    </a:custClr>
    <a:custClr name="rgb(0,122,179)">
      <a:srgbClr val="007AB3"/>
    </a:custClr>
    <a:custClr name="rgb(19,160,211)">
      <a:srgbClr val="13A0D3"/>
    </a:custClr>
    <a:custClr name="rgb(181,218,230)">
      <a:srgbClr val="B5DAE6"/>
    </a:custClr>
    <a:custClr name="rgb(223,239,242)">
      <a:srgbClr val="DFEFF2"/>
    </a:custClr>
    <a:custClr name="rgb(0,144,141)">
      <a:srgbClr val="00908D"/>
    </a:custClr>
    <a:custClr name="rgb(95,205,138)">
      <a:srgbClr val="5FCD8A"/>
    </a:custClr>
    <a:custClr name="rgb(166,39,111)">
      <a:srgbClr val="A6276F"/>
    </a:custClr>
    <a:custClr name="rgb(246,36,89)">
      <a:srgbClr val="F62459"/>
    </a:custClr>
    <a:custClr name="rgb(248,98,0)">
      <a:srgbClr val="F86200"/>
    </a:custClr>
    <a:custClr name="rgb(250,182,0)">
      <a:srgbClr val="FAB600"/>
    </a:custClr>
  </a:custClrLst>
  <a:extLst>
    <a:ext uri="{05A4C25C-085E-4340-85A3-A5531E510DB2}">
      <thm15:themeFamily xmlns:thm15="http://schemas.microsoft.com/office/thememl/2012/main" name="Alianz" id="{E99355A1-29ED-4A53-A540-FC29DF417B25}" vid="{25B894C9-33C2-4AFA-9DAC-E9BCD7A69FB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>01 Octubre 2026</PublishDate>
  <Abstract/>
  <CompanyAddress>Madrid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laceOfOriginal xmlns="9ff07a45-11f5-479e-a441-cd98a86709fe" xsi:nil="true"/>
    <_dlc_DocIdPersistId xmlns="9ff07a45-11f5-479e-a441-cd98a86709fe" xsi:nil="true"/>
    <DossierStatus xmlns="9ff07a45-11f5-479e-a441-cd98a86709fe" xsi:nil="true"/>
    <ContractManagers xmlns="9ff07a45-11f5-479e-a441-cd98a86709fe">
      <UserInfo>
        <DisplayName/>
        <AccountId xsi:nil="true"/>
        <AccountType/>
      </UserInfo>
    </ContractManagers>
    <OutsourcingAgreement xmlns="9ff07a45-11f5-479e-a441-cd98a86709fe" xsi:nil="true"/>
    <ContractDate xmlns="9ff07a45-11f5-479e-a441-cd98a86709fe" xsi:nil="true"/>
    <MaterialContract xmlns="9ff07a45-11f5-479e-a441-cd98a86709fe" xsi:nil="true"/>
    <ExternalContractingParties xmlns="9ff07a45-11f5-479e-a441-cd98a86709fe" xsi:nil="true"/>
    <ContractType xmlns="9ff07a45-11f5-479e-a441-cd98a86709fe" xsi:nil="true"/>
    <ContractExpirationDate xmlns="9ff07a45-11f5-479e-a441-cd98a86709fe" xsi:nil="true"/>
    <DossierOwner xmlns="9ff07a45-11f5-479e-a441-cd98a86709fe">
      <UserInfo>
        <DisplayName/>
        <AccountId xsi:nil="true"/>
        <AccountType/>
      </UserInfo>
    </DossierOwner>
    <nd762d5e82fb490792aa88eaddbb89ea xmlns="9ff07a45-11f5-479e-a441-cd98a86709fe">
      <Terms xmlns="http://schemas.microsoft.com/office/infopath/2007/PartnerControls"/>
    </nd762d5e82fb490792aa88eaddbb89ea>
    <DocumentClass xmlns="9ff07a45-11f5-479e-a441-cd98a86709fe">Empieza por número</DocumentClass>
    <ContractStatus xmlns="9ff07a45-11f5-479e-a441-cd98a86709fe">Sequía</ContractStatus>
    <_dlc_DocId xmlns="9ff07a45-11f5-479e-a441-cd98a86709fe">XU7P7SY2DP3Q-491014520-213503</_dlc_DocId>
    <l6856d4619ce496882360609f9fc1dec xmlns="9ff07a45-11f5-479e-a441-cd98a86709fe">
      <Terms xmlns="http://schemas.microsoft.com/office/infopath/2007/PartnerControls"/>
    </l6856d4619ce496882360609f9fc1dec>
    <TaxCatchAll xmlns="9ff07a45-11f5-479e-a441-cd98a86709fe" xsi:nil="true"/>
    <TaxCatchAllLabel xmlns="9ff07a45-11f5-479e-a441-cd98a86709fe" xsi:nil="true"/>
    <_dlc_DocIdUrl xmlns="9ff07a45-11f5-479e-a441-cd98a86709fe">
      <Url>https://allianzms.sharepoint.com/teams/ES0006-3163019/_layouts/15/DocIdRedir.aspx?ID=XU7P7SY2DP3Q-491014520-213503</Url>
      <Description>XU7P7SY2DP3Q-491014520-213503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304FBE35F569468B297629135C7396" ma:contentTypeVersion="48" ma:contentTypeDescription="Create a new document." ma:contentTypeScope="" ma:versionID="d3d7aa1ce60ca7f9d85bfb75e2edf0c7">
  <xsd:schema xmlns:xsd="http://www.w3.org/2001/XMLSchema" xmlns:xs="http://www.w3.org/2001/XMLSchema" xmlns:p="http://schemas.microsoft.com/office/2006/metadata/properties" xmlns:ns2="9ff07a45-11f5-479e-a441-cd98a86709fe" xmlns:ns3="5d5361cd-dd21-42bb-ace1-e1b72dd4ac82" targetNamespace="http://schemas.microsoft.com/office/2006/metadata/properties" ma:root="true" ma:fieldsID="f6eed1c37449dbbe9271dd54985351d7" ns2:_="" ns3:_="">
    <xsd:import namespace="9ff07a45-11f5-479e-a441-cd98a86709fe"/>
    <xsd:import namespace="5d5361cd-dd21-42bb-ace1-e1b72dd4ac82"/>
    <xsd:element name="properties">
      <xsd:complexType>
        <xsd:sequence>
          <xsd:element name="documentManagement">
            <xsd:complexType>
              <xsd:all>
                <xsd:element ref="ns2:DossierOwner" minOccurs="0"/>
                <xsd:element ref="ns2:DossierStatus" minOccurs="0"/>
                <xsd:element ref="ns2:MaterialContract" minOccurs="0"/>
                <xsd:element ref="ns2:ContractStatus" minOccurs="0"/>
                <xsd:element ref="ns2:OutsourcingAgreement" minOccurs="0"/>
                <xsd:element ref="ns2:ExternalContractingParties" minOccurs="0"/>
                <xsd:element ref="ns2:ContractDate" minOccurs="0"/>
                <xsd:element ref="ns2:PlaceOfOriginal" minOccurs="0"/>
                <xsd:element ref="ns2:ContractManagers" minOccurs="0"/>
                <xsd:element ref="ns2:nd762d5e82fb490792aa88eaddbb89ea" minOccurs="0"/>
                <xsd:element ref="ns2:TaxCatchAll" minOccurs="0"/>
                <xsd:element ref="ns2:TaxCatchAllLabel" minOccurs="0"/>
                <xsd:element ref="ns2:DocumentClass" minOccurs="0"/>
                <xsd:element ref="ns2:l6856d4619ce496882360609f9fc1dec" minOccurs="0"/>
                <xsd:element ref="ns2:_dlc_DocId" minOccurs="0"/>
                <xsd:element ref="ns2:ContractType" minOccurs="0"/>
                <xsd:element ref="ns2:_dlc_DocIdUrl" minOccurs="0"/>
                <xsd:element ref="ns2:_dlc_DocIdPersistId" minOccurs="0"/>
                <xsd:element ref="ns2:ContractExpirationDate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07a45-11f5-479e-a441-cd98a86709fe" elementFormDefault="qualified">
    <xsd:import namespace="http://schemas.microsoft.com/office/2006/documentManagement/types"/>
    <xsd:import namespace="http://schemas.microsoft.com/office/infopath/2007/PartnerControls"/>
    <xsd:element name="DossierOwner" ma:index="2" nillable="true" ma:displayName="Propietario(s) del expediente" ma:description="Persona(s) propietarias del expediente." ma:internalName="Dossier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ssierStatus" ma:index="3" nillable="true" ma:displayName="Estado del expediente" ma:default="" ma:description="Indica el estatus del dosier." ma:format="Dropdown" ma:internalName="DossierStatus" ma:readOnly="false">
      <xsd:simpleType>
        <xsd:restriction base="dms:Choice">
          <xsd:enumeration value="Abierto"/>
          <xsd:enumeration value="Cerrado"/>
        </xsd:restriction>
      </xsd:simpleType>
    </xsd:element>
    <xsd:element name="MaterialContract" ma:index="4" nillable="true" ma:displayName="Contrato con umbral materal" ma:description="Identificar si el contrato tiene umbral material." ma:format="Dropdown" ma:internalName="MaterialContract" ma:readOnly="false">
      <xsd:simpleType>
        <xsd:restriction base="dms:Boolean"/>
      </xsd:simpleType>
    </xsd:element>
    <xsd:element name="ContractStatus" ma:index="6" nillable="true" ma:displayName="Estado del contrato" ma:default="Sequía" ma:description="El estado del contrato." ma:format="Dropdown" ma:internalName="ContractStatus" ma:readOnly="false">
      <xsd:simpleType>
        <xsd:restriction base="dms:Choice">
          <xsd:enumeration value="Sequía"/>
          <xsd:enumeration value="Activo"/>
          <xsd:enumeration value="Terminado"/>
        </xsd:restriction>
      </xsd:simpleType>
    </xsd:element>
    <xsd:element name="OutsourcingAgreement" ma:index="7" nillable="true" ma:displayName="Acuerdo de subcontratacion" ma:description="Si un contrato es de subcontratacion en el sentido de la Politica de Subcontratacion del Grupo, el dosier necesita ser marcado como tal." ma:format="Dropdown" ma:internalName="OutsourcingAgreement" ma:readOnly="false">
      <xsd:simpleType>
        <xsd:restriction base="dms:Boolean"/>
      </xsd:simpleType>
    </xsd:element>
    <xsd:element name="ExternalContractingParties" ma:index="8" nillable="true" ma:displayName="Partes contratantes externas" ma:description="Nombre(s) de las partes contratantes externas." ma:internalName="ExternalContractingParties" ma:readOnly="false">
      <xsd:simpleType>
        <xsd:restriction base="dms:Text"/>
      </xsd:simpleType>
    </xsd:element>
    <xsd:element name="ContractDate" ma:index="9" nillable="true" ma:displayName="Fecha del contrato" ma:description="Fecha de celebración del contrato." ma:format="DateOnly" ma:internalName="ContractDate" ma:readOnly="false">
      <xsd:simpleType>
        <xsd:restriction base="dms:DateTime"/>
      </xsd:simpleType>
    </xsd:element>
    <xsd:element name="PlaceOfOriginal" ma:index="10" nillable="true" ma:displayName="Lugar de la copia original" ma:description="En caso que se mantenga una copia original en papel del contrato, indiquese el lugar donde se conserva aqui." ma:internalName="PlaceOfOriginal" ma:readOnly="false">
      <xsd:simpleType>
        <xsd:restriction base="dms:Text"/>
      </xsd:simpleType>
    </xsd:element>
    <xsd:element name="ContractManagers" ma:index="11" nillable="true" ma:displayName="Gestores del contrato" ma:description="Persona(s) que gestionan el contrato y conocen los detalles." ma:list="UserInfo" ma:internalName="ContractManagers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d762d5e82fb490792aa88eaddbb89ea" ma:index="14" nillable="true" ma:taxonomy="true" ma:internalName="nd762d5e82fb490792aa88eaddbb89ea" ma:taxonomyFieldName="Document_Class" ma:displayName="Categoria del documento" ma:readOnly="false" ma:fieldId="{7d762d5e-82fb-4907-92aa-88eaddbb89ea}" ma:sspId="10820af1-e82f-496e-bbcb-d9502914b7b2" ma:termSetId="a8fe5516-3f25-4a18-9fe8-9ec61fcfebb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b2ba0cfd-a642-482e-bf59-faef85f1cda4}" ma:internalName="TaxCatchAll" ma:readOnly="false" ma:showField="CatchAllData" ma:web="9ff07a45-11f5-479e-a441-cd98a86709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6" nillable="true" ma:displayName="Taxonomy Catch All Column1" ma:hidden="true" ma:list="{b2ba0cfd-a642-482e-bf59-faef85f1cda4}" ma:internalName="TaxCatchAllLabel" ma:readOnly="false" ma:showField="CatchAllDataLabel" ma:web="9ff07a45-11f5-479e-a441-cd98a86709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umentClass" ma:index="18" nillable="true" ma:displayName="Categoria del documento" ma:default="Empieza por número" ma:description="Atributo para clasificar el Documento de acuerdo con la programacion de retencion del documento." ma:format="Dropdown" ma:hidden="true" ma:internalName="DocumentClass" ma:readOnly="false">
      <xsd:simpleType>
        <xsd:restriction base="dms:Text">
          <xsd:maxLength value="255"/>
        </xsd:restriction>
      </xsd:simpleType>
    </xsd:element>
    <xsd:element name="l6856d4619ce496882360609f9fc1dec" ma:index="20" nillable="true" ma:taxonomy="true" ma:internalName="l6856d4619ce496882360609f9fc1dec" ma:taxonomyFieldName="Contract_Type" ma:displayName="Tipo de contrato" ma:readOnly="false" ma:fieldId="{56856d46-19ce-4968-8236-0609f9fc1dec}" ma:sspId="10820af1-e82f-496e-bbcb-d9502914b7b2" ma:termSetId="70805c8f-f58a-429f-b5cb-62c5b6dc552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4" nillable="true" ma:displayName="Document ID Value" ma:description="The value of the document ID assigned to this item." ma:hidden="true" ma:indexed="true" ma:internalName="_dlc_DocId" ma:readOnly="false">
      <xsd:simpleType>
        <xsd:restriction base="dms:Text"/>
      </xsd:simpleType>
    </xsd:element>
    <xsd:element name="ContractType" ma:index="25" nillable="true" ma:displayName="Tipo de contrato" ma:description="Atributo para clasificar el contrato. Seleccione un valor entre tipos de contrato estándar o tipos de contrato especiales." ma:format="Dropdown" ma:hidden="true" ma:internalName="ContractType" ma:readOnly="false">
      <xsd:simpleType>
        <xsd:restriction base="dms:Choice">
          <xsd:enumeration value="Tipos de contratos estándar (Seleccione de abajp):"/>
          <xsd:enumeration value="-----------------------"/>
          <xsd:enumeration value="Acuerdo de servicio, Acuerdo de nivel de servicio"/>
          <xsd:enumeration value="Acuerdo de compra (compras y ventas)"/>
          <xsd:enumeration value="Acuerdo de prestamo"/>
          <xsd:enumeration value="Acuerdo de confidencialidad"/>
          <xsd:enumeration value="Acuerdo de cooperación"/>
          <xsd:enumeration value="Carta de Intención, Memorando de Entendimiento"/>
          <xsd:enumeration value="Contrato de seguro"/>
          <xsd:enumeration value="Garantía, Carta de Confort, Carta de Crédito"/>
          <xsd:enumeration value="Otro"/>
          <xsd:enumeration value="-----------------------"/>
          <xsd:enumeration value="Tipos de contratos especiales (Seleccione de abajp):"/>
          <xsd:enumeration value="-----------------------"/>
          <xsd:enumeration value="Acuerdo de empleo"/>
          <xsd:enumeration value="Contrato de alquiler o arrendamiento"/>
          <xsd:enumeration value="Acuerdo de licencia"/>
          <xsd:enumeration value="Acuerdo de privacidad"/>
          <xsd:enumeration value="Acuerdo de agencia (agente vinculado)"/>
          <xsd:enumeration value="Acuerdo de corretaje (corredor)"/>
          <xsd:enumeration value="Acuerdo de distribución"/>
          <xsd:enumeration value="Empleador - Comité de empresa / Acuerdo sindical"/>
          <xsd:enumeration value="Acuerdo de inversión o financiamiento"/>
          <xsd:enumeration value="Contrato de resaseguro"/>
          <xsd:enumeration value="Acuerdo de accionistas"/>
          <xsd:enumeration value="Contrato de control o transferencia de beneficios"/>
          <xsd:enumeration value="Acuerdo de empresa conjunta"/>
          <xsd:enumeration value="Acuerdo de confianza"/>
          <xsd:enumeration value="Acuerdo de compraventa / fusión de acciones o empresas"/>
          <xsd:enumeration value="Contrato con un miembro del Consejo de Administración o del Consejo de Supervisión"/>
        </xsd:restriction>
      </xsd:simpleType>
    </xsd:element>
    <xsd:element name="_dlc_DocIdUrl" ma:index="26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7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ContractExpirationDate" ma:index="28" nillable="true" ma:displayName="Fecha de expiración" ma:description="Fecha cuando expira/ finaliza el contrato." ma:format="DateOnly" ma:hidden="true" ma:internalName="ContractExpiration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5361cd-dd21-42bb-ace1-e1b72dd4ac82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3DD263F-582A-470B-ADAE-FEE3557E31F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1F5FDF4-C1E7-4FC2-9A1F-D6F30CAC875D}">
  <ds:schemaRefs>
    <ds:schemaRef ds:uri="http://schemas.microsoft.com/office/2006/metadata/properties"/>
    <ds:schemaRef ds:uri="http://schemas.microsoft.com/office/infopath/2007/PartnerControls"/>
    <ds:schemaRef ds:uri="9ff07a45-11f5-479e-a441-cd98a86709fe"/>
  </ds:schemaRefs>
</ds:datastoreItem>
</file>

<file path=customXml/itemProps4.xml><?xml version="1.0" encoding="utf-8"?>
<ds:datastoreItem xmlns:ds="http://schemas.openxmlformats.org/officeDocument/2006/customXml" ds:itemID="{51C313F4-CC87-4AD8-BF0D-5734B7643F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f07a45-11f5-479e-a441-cd98a86709fe"/>
    <ds:schemaRef ds:uri="5d5361cd-dd21-42bb-ace1-e1b72dd4ac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FF3AAAC-C920-4698-AAD2-60D96C258D7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5ECBF5E-49A3-407D-9B17-81FA4C907EB5}">
  <ds:schemaRefs>
    <ds:schemaRef ds:uri="http://schemas.microsoft.com/sharepoint/event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AZ_Press_Release_Standard.dotx</ap:Template>
  <ap:Application>Microsoft Word for the web</ap:Application>
  <ap:DocSecurity>0</ap:DocSecurity>
  <ap:ScaleCrop>false</ap:ScaleCrop>
  <ap:Company>Allianz Trade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 Release</dc:title>
  <dc:subject/>
  <dc:creator>E107708</dc:creator>
  <cp:keywords/>
  <dc:description/>
  <cp:lastModifiedBy>Rodriguez Mosquera, Sonia (Allianz Compania de Seguros y Reaseguros S.A.)</cp:lastModifiedBy>
  <cp:revision>18</cp:revision>
  <cp:lastPrinted>2022-08-24T21:00:00Z</cp:lastPrinted>
  <dcterms:created xsi:type="dcterms:W3CDTF">2026-09-22T00:46:00Z</dcterms:created>
  <dcterms:modified xsi:type="dcterms:W3CDTF">2026-10-13T10:50:37Z</dcterms:modified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6a7ab862,47b4e203,331d626c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Internal</vt:lpwstr>
  </property>
  <property fmtid="{D5CDD505-2E9C-101B-9397-08002B2CF9AE}" pid="5" name="MSIP_Label_863bc15e-e7bf-41c1-bdb3-03882d8a2e2c_Enabled">
    <vt:lpwstr>true</vt:lpwstr>
  </property>
  <property fmtid="{D5CDD505-2E9C-101B-9397-08002B2CF9AE}" pid="6" name="MSIP_Label_863bc15e-e7bf-41c1-bdb3-03882d8a2e2c_SetDate">
    <vt:lpwstr>2026-05-13T13:02:18Z</vt:lpwstr>
  </property>
  <property fmtid="{D5CDD505-2E9C-101B-9397-08002B2CF9AE}" pid="7" name="MSIP_Label_863bc15e-e7bf-41c1-bdb3-03882d8a2e2c_Method">
    <vt:lpwstr>Privileged</vt:lpwstr>
  </property>
  <property fmtid="{D5CDD505-2E9C-101B-9397-08002B2CF9AE}" pid="8" name="MSIP_Label_863bc15e-e7bf-41c1-bdb3-03882d8a2e2c_Name">
    <vt:lpwstr>863bc15e-e7bf-41c1-bdb3-03882d8a2e2c</vt:lpwstr>
  </property>
  <property fmtid="{D5CDD505-2E9C-101B-9397-08002B2CF9AE}" pid="9" name="MSIP_Label_863bc15e-e7bf-41c1-bdb3-03882d8a2e2c_SiteId">
    <vt:lpwstr>6e06e42d-6925-47c6-b9e7-9581c7ca302a</vt:lpwstr>
  </property>
  <property fmtid="{D5CDD505-2E9C-101B-9397-08002B2CF9AE}" pid="10" name="MSIP_Label_863bc15e-e7bf-41c1-bdb3-03882d8a2e2c_ActionId">
    <vt:lpwstr>f14037b9-c380-4d29-affe-fc8147156a38</vt:lpwstr>
  </property>
  <property fmtid="{D5CDD505-2E9C-101B-9397-08002B2CF9AE}" pid="11" name="MSIP_Label_863bc15e-e7bf-41c1-bdb3-03882d8a2e2c_ContentBits">
    <vt:lpwstr>1</vt:lpwstr>
  </property>
  <property fmtid="{D5CDD505-2E9C-101B-9397-08002B2CF9AE}" pid="12" name="MSIP_Label_863bc15e-e7bf-41c1-bdb3-03882d8a2e2c_Tag">
    <vt:lpwstr>10, 0, 1, 1</vt:lpwstr>
  </property>
  <property fmtid="{D5CDD505-2E9C-101B-9397-08002B2CF9AE}" pid="13" name="ContentTypeId">
    <vt:lpwstr>0x010100CB304FBE35F569468B297629135C7396</vt:lpwstr>
  </property>
  <property fmtid="{D5CDD505-2E9C-101B-9397-08002B2CF9AE}" pid="14" name="DossierDepartment">
    <vt:lpwstr/>
  </property>
  <property fmtid="{D5CDD505-2E9C-101B-9397-08002B2CF9AE}" pid="15" name="AllianzContractingParties">
    <vt:lpwstr/>
  </property>
  <property fmtid="{D5CDD505-2E9C-101B-9397-08002B2CF9AE}" pid="16" name="MediaServiceImageTags">
    <vt:lpwstr/>
  </property>
  <property fmtid="{D5CDD505-2E9C-101B-9397-08002B2CF9AE}" pid="17" name="Contract_Type">
    <vt:lpwstr/>
  </property>
  <property fmtid="{D5CDD505-2E9C-101B-9397-08002B2CF9AE}" pid="18" name="b0fe84444e894ab98172082a3d0e58f8">
    <vt:lpwstr/>
  </property>
  <property fmtid="{D5CDD505-2E9C-101B-9397-08002B2CF9AE}" pid="19" name="Document_Class">
    <vt:lpwstr/>
  </property>
  <property fmtid="{D5CDD505-2E9C-101B-9397-08002B2CF9AE}" pid="20" name="iccd162ff52447b49ab8f5fd8f2cec1e">
    <vt:lpwstr/>
  </property>
  <property fmtid="{D5CDD505-2E9C-101B-9397-08002B2CF9AE}" pid="21" name="lcf76f155ced4ddcb4097134ff3c332f">
    <vt:lpwstr/>
  </property>
  <property fmtid="{D5CDD505-2E9C-101B-9397-08002B2CF9AE}" pid="22" name="_dlc_DocIdItemGuid">
    <vt:lpwstr>cb3abf86-c2e0-4017-8b9a-9b6fd4f55329</vt:lpwstr>
  </property>
  <property fmtid="{D5CDD505-2E9C-101B-9397-08002B2CF9AE}" pid="24" name="docLang">
    <vt:lpwstr>es</vt:lpwstr>
  </property>
</Properties>
</file>