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5F5D84" w14:textId="17BDB96A" w:rsidR="00230132" w:rsidRPr="007305EA" w:rsidRDefault="00660C0C" w:rsidP="00BA3CBC">
      <w:pPr>
        <w:pStyle w:val="AZ-PCompany"/>
      </w:pPr>
      <w:r w:rsidRPr="007305EA">
        <w:t>ALLIANZ S</w:t>
      </w:r>
      <w:r w:rsidR="0034286C" w:rsidRPr="007305EA">
        <w:t>EGUROS</w:t>
      </w:r>
      <w:r w:rsidRPr="007305EA">
        <w:t xml:space="preserve"> | </w:t>
      </w:r>
      <w:r w:rsidR="0034286C" w:rsidRPr="007305EA">
        <w:t>COMUNICACIÓN CORPORATIVA</w:t>
      </w:r>
    </w:p>
    <w:p w14:paraId="57934361" w14:textId="078A4268" w:rsidR="00592898" w:rsidRPr="007305EA" w:rsidRDefault="0034286C" w:rsidP="003236DD">
      <w:pPr>
        <w:pStyle w:val="StyleHeading1"/>
      </w:pPr>
      <w:r w:rsidRPr="007305EA">
        <w:rPr>
          <w:color w:val="13A0D3"/>
        </w:rPr>
        <w:t>Nota de prensa</w:t>
      </w:r>
      <w:r w:rsidR="00660C0C" w:rsidRPr="007305EA">
        <w:rPr>
          <w:color w:val="13A0D3"/>
        </w:rPr>
        <w:t xml:space="preserve">: </w:t>
      </w:r>
      <w:r w:rsidR="004857BB" w:rsidRPr="004857BB">
        <w:t xml:space="preserve">Allianz supera los 1,2 millones de avisos preventivos a clientes ante los incendios forestales de </w:t>
      </w:r>
      <w:r w:rsidR="007305EA" w:rsidRPr="007305EA">
        <w:t>este verano</w:t>
      </w:r>
    </w:p>
    <w:sdt>
      <w:sdtPr>
        <w:alias w:val="Veröffentlichungsdatum"/>
        <w:tag w:val=""/>
        <w:id w:val="-492718318"/>
        <w:dataBinding w:prefixMappings="xmlns:ns0='http://schemas.microsoft.com/office/2006/coverPageProps' " w:xpath="/ns0:CoverPageProperties[1]/ns0:PublishDate[1]" w:storeItemID="{55AF091B-3C7A-41E3-B477-F2FDAA23CFDA}"/>
        <w:date>
          <w:dateFormat w:val="d MMMM yyyy"/>
          <w:lid w:val="de-DE"/>
          <w:storeMappedDataAs w:val="dateTime"/>
          <w:calendar w:val="gregorian"/>
        </w:date>
      </w:sdtPr>
      <w:sdtContent>
        <w:p w14:paraId="478CC371" w14:textId="1962A6F0" w:rsidR="00083FD4" w:rsidRPr="007305EA" w:rsidRDefault="002C7CEF" w:rsidP="00685E57">
          <w:pPr>
            <w:pStyle w:val="AZ-PDate"/>
            <w:framePr w:wrap="around"/>
          </w:pPr>
          <w:r>
            <w:rPr>
              <w:lang w:val="de-DE"/>
            </w:rPr>
            <w:t>10</w:t>
          </w:r>
          <w:r>
            <w:rPr>
              <w:lang w:val="de-DE"/>
            </w:rPr>
            <w:t xml:space="preserve"> Septiembre 2026</w:t>
          </w:r>
        </w:p>
      </w:sdtContent>
    </w:sdt>
    <w:sdt>
      <w:sdtPr>
        <w:alias w:val="Firmenadresse"/>
        <w:tag w:val=""/>
        <w:id w:val="-1798450592"/>
        <w:placeholder>
          <w:docPart w:val="E7C3E0BF40AB4F609A145EB81F54600E"/>
        </w:placeholder>
        <w:dataBinding w:prefixMappings="xmlns:ns0='http://schemas.microsoft.com/office/2006/coverPageProps' " w:xpath="/ns0:CoverPageProperties[1]/ns0:CompanyAddress[1]" w:storeItemID="{55AF091B-3C7A-41E3-B477-F2FDAA23CFDA}"/>
        <w:text/>
      </w:sdtPr>
      <w:sdtEndPr/>
      <w:sdtContent>
        <w:p w14:paraId="7E32B2C5" w14:textId="7383DFBD" w:rsidR="001517EB" w:rsidRPr="007305EA" w:rsidRDefault="0034286C" w:rsidP="00497F68">
          <w:pPr>
            <w:pStyle w:val="AZ-PDate2"/>
            <w:framePr w:wrap="around"/>
          </w:pPr>
          <w:r w:rsidRPr="007305EA">
            <w:t>Madrid</w:t>
          </w:r>
        </w:p>
      </w:sdtContent>
    </w:sdt>
    <w:p w14:paraId="6F19E126" w14:textId="77777777" w:rsidR="002455B3" w:rsidRDefault="00DC7869" w:rsidP="002455B3">
      <w:pPr>
        <w:pStyle w:val="AZ-PList"/>
      </w:pPr>
      <w:r>
        <w:t>La compañía ha utilizado tecnología de monitorización satelital para anticipar situaciones de riesgo y proteger a particulares y empresas potencialmente afectados</w:t>
      </w:r>
    </w:p>
    <w:p w14:paraId="423B4DAD" w14:textId="1D324634" w:rsidR="592A01EB" w:rsidRDefault="592A01EB" w:rsidP="592A01EB">
      <w:pPr>
        <w:pStyle w:val="AZ-PList"/>
        <w:numPr>
          <w:ilvl w:val="0"/>
          <w:numId w:val="0"/>
        </w:numPr>
        <w:ind w:left="170"/>
      </w:pPr>
    </w:p>
    <w:p w14:paraId="7455BCDC" w14:textId="31BE6D98" w:rsidR="00DC7869" w:rsidRDefault="00DC7869" w:rsidP="002455B3">
      <w:pPr>
        <w:pStyle w:val="AZ-PList"/>
      </w:pPr>
      <w:r>
        <w:t xml:space="preserve">Desde junio, la plataforma de Satellites on Fire ha generado 728 </w:t>
      </w:r>
      <w:r w:rsidR="00946AA2">
        <w:t xml:space="preserve">notificaciones </w:t>
      </w:r>
    </w:p>
    <w:p w14:paraId="37FC695E" w14:textId="29EBA794" w:rsidR="592A01EB" w:rsidRDefault="592A01EB" w:rsidP="592A01EB">
      <w:pPr>
        <w:pStyle w:val="AZ-PList"/>
        <w:numPr>
          <w:ilvl w:val="0"/>
          <w:numId w:val="0"/>
        </w:numPr>
        <w:ind w:left="170"/>
      </w:pPr>
    </w:p>
    <w:p w14:paraId="7F02ECDD" w14:textId="375C4717" w:rsidR="007305EA" w:rsidRPr="007305EA" w:rsidRDefault="00DC7869" w:rsidP="00DC7869">
      <w:pPr>
        <w:pStyle w:val="AZ-PList"/>
      </w:pPr>
      <w:r>
        <w:t>La iniciativa permite a Allianz anticiparse al avance del fuego y facilitar información preventiva a sus clientes antes de que alcance zonas habitadas o de actividad empresarial</w:t>
      </w:r>
    </w:p>
    <w:p w14:paraId="2A2651CE" w14:textId="4D3D94BF" w:rsidR="00E56C66" w:rsidRPr="007305EA" w:rsidRDefault="00E56C66" w:rsidP="0034286C">
      <w:pPr>
        <w:pStyle w:val="AZ-PList"/>
        <w:numPr>
          <w:ilvl w:val="0"/>
          <w:numId w:val="0"/>
        </w:numPr>
      </w:pPr>
    </w:p>
    <w:p w14:paraId="579E565C" w14:textId="08E4406F" w:rsidR="00EA4043" w:rsidRDefault="00585C49" w:rsidP="00511484">
      <w:pPr>
        <w:jc w:val="both"/>
      </w:pPr>
      <w:r>
        <w:t>Allianz Seguros ha realizado durante este verano más de 1,2 millones de comunicaciones preventivas a clientes potencialmente expuestos a incendios forestales en España, gracias a la utilización de tecnología de monitorización satelital. La iniciativa, desarrollada en colaboración con Satellites on Fire, permite a la compañía realizar un seguimiento de los incendios forestales y activar avisos preventivos, anticipando la comunicación con particulares y empresas potencialmente afectados</w:t>
      </w:r>
      <w:r w:rsidR="00EA4043">
        <w:t>.</w:t>
      </w:r>
    </w:p>
    <w:p w14:paraId="39EC35A9" w14:textId="0BF0536D" w:rsidR="592A01EB" w:rsidRDefault="592A01EB" w:rsidP="592A01EB">
      <w:pPr>
        <w:jc w:val="both"/>
      </w:pPr>
    </w:p>
    <w:p w14:paraId="5F8637A9" w14:textId="3C191E06" w:rsidR="000C1D74" w:rsidRDefault="000C1D74" w:rsidP="00511484">
      <w:pPr>
        <w:jc w:val="both"/>
      </w:pPr>
      <w:r>
        <w:t xml:space="preserve">El sistema permite a </w:t>
      </w:r>
      <w:r w:rsidR="06382A35">
        <w:t>la aseguradora</w:t>
      </w:r>
      <w:r>
        <w:t xml:space="preserve"> centrar la monitorización y los protocolos de comunicación en los incendios con mayor capacidad potencial de impacto. El umbral establecido para la </w:t>
      </w:r>
      <w:r w:rsidRPr="592A01EB">
        <w:rPr>
          <w:b/>
          <w:bCs/>
        </w:rPr>
        <w:t>activación de estos avisos se sitúa en 100 hectáreas, muy por debajo de las 500 hectáreas a partir de las cuales un incendio adquiere oficialmente la consideración de Gran Incendio Forestal</w:t>
      </w:r>
      <w:r>
        <w:t>. La localización del fuego y su potencial afección a clientes son también elementos determinantes para decidir las comunicaciones</w:t>
      </w:r>
      <w:r w:rsidR="00D744DF">
        <w:t>.</w:t>
      </w:r>
    </w:p>
    <w:p w14:paraId="7063F590" w14:textId="77777777" w:rsidR="00EA4043" w:rsidRDefault="00EA4043" w:rsidP="00511484">
      <w:pPr>
        <w:jc w:val="both"/>
      </w:pPr>
    </w:p>
    <w:p w14:paraId="3655FFEB" w14:textId="1D63489E" w:rsidR="00BB6F4F" w:rsidRDefault="00BB6F4F" w:rsidP="00511484">
      <w:pPr>
        <w:jc w:val="both"/>
      </w:pPr>
      <w:r w:rsidRPr="00BB6F4F">
        <w:lastRenderedPageBreak/>
        <w:drawing>
          <wp:inline distT="0" distB="0" distL="0" distR="0" wp14:anchorId="04E58E33" wp14:editId="72FCBAE2">
            <wp:extent cx="5454015" cy="1515110"/>
            <wp:effectExtent l="0" t="0" r="0" b="8890"/>
            <wp:docPr id="140373239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3732397" name=""/>
                    <pic:cNvPicPr/>
                  </pic:nvPicPr>
                  <pic:blipFill>
                    <a:blip r:embed="rId13"/>
                    <a:stretch>
                      <a:fillRect/>
                    </a:stretch>
                  </pic:blipFill>
                  <pic:spPr>
                    <a:xfrm>
                      <a:off x="0" y="0"/>
                      <a:ext cx="5454015" cy="1515110"/>
                    </a:xfrm>
                    <a:prstGeom prst="rect">
                      <a:avLst/>
                    </a:prstGeom>
                  </pic:spPr>
                </pic:pic>
              </a:graphicData>
            </a:graphic>
          </wp:inline>
        </w:drawing>
      </w:r>
    </w:p>
    <w:p w14:paraId="2BCC60AE" w14:textId="77777777" w:rsidR="000B1972" w:rsidRDefault="000B1972" w:rsidP="00511484">
      <w:pPr>
        <w:jc w:val="both"/>
      </w:pPr>
    </w:p>
    <w:p w14:paraId="45D095F7" w14:textId="0CD23D19" w:rsidR="00EA4043" w:rsidRDefault="00EA4043" w:rsidP="00511484">
      <w:pPr>
        <w:jc w:val="both"/>
      </w:pPr>
      <w:r>
        <w:t xml:space="preserve">Desde la puesta en marcha del proyecto, Allianz ha recibido 728 </w:t>
      </w:r>
      <w:r w:rsidR="00EB75EE">
        <w:t xml:space="preserve">notificaciones </w:t>
      </w:r>
      <w:r>
        <w:t xml:space="preserve">de incendios a través de la plataforma y ha </w:t>
      </w:r>
      <w:r w:rsidR="008C7A30">
        <w:t>verificado</w:t>
      </w:r>
      <w:r>
        <w:t xml:space="preserve"> 126 activaciones de planes de respuesta ante incendios forestales que, en conjunto, han afectado a más de </w:t>
      </w:r>
      <w:r w:rsidR="007E3680">
        <w:t>200.000</w:t>
      </w:r>
      <w:r>
        <w:t xml:space="preserve"> hectáreas.</w:t>
      </w:r>
    </w:p>
    <w:p w14:paraId="6E15F9EC" w14:textId="77777777" w:rsidR="00EA4043" w:rsidRDefault="00EA4043" w:rsidP="00511484">
      <w:pPr>
        <w:jc w:val="both"/>
      </w:pPr>
    </w:p>
    <w:p w14:paraId="5C21C0BA" w14:textId="7B6B3A12" w:rsidR="00EA4043" w:rsidRDefault="00EA4043" w:rsidP="00511484">
      <w:pPr>
        <w:jc w:val="both"/>
      </w:pPr>
      <w:r>
        <w:t>La monitorización permite realizar un seguimiento prácticamente en tiempo real de la evolución del fuego y cruzar esta información con las zonas en las que se encuentran clientes potencialmente afectados. A partir de esta información, Allianz puede activar sus protocolos de prevención y comunicación de manera anticipada.</w:t>
      </w:r>
    </w:p>
    <w:p w14:paraId="4AFAF4EB" w14:textId="77777777" w:rsidR="006F0496" w:rsidRDefault="006F0496" w:rsidP="00511484">
      <w:pPr>
        <w:jc w:val="both"/>
      </w:pPr>
    </w:p>
    <w:p w14:paraId="79AF0F7B" w14:textId="5E92E33B" w:rsidR="006F0496" w:rsidRDefault="006F0496" w:rsidP="00511484">
      <w:pPr>
        <w:jc w:val="both"/>
      </w:pPr>
      <w:r w:rsidRPr="006F0496">
        <w:t>Este dispositivo tecnológico ha contado además con el respaldo de un equipo dedicado en exclusiva de 15 profesionales de Allianz, que durante todo el verano han trabajado de forma continuada en la supervisión, validación y gestión de las alertas, garantizando que cada comunicación llegara a los clientes de manera ágil y eficaz en los momentos de mayor riesgo</w:t>
      </w:r>
      <w:r w:rsidR="00320611">
        <w:t>.</w:t>
      </w:r>
    </w:p>
    <w:p w14:paraId="15EB924A" w14:textId="77777777" w:rsidR="00EA4043" w:rsidRDefault="00EA4043" w:rsidP="00511484">
      <w:pPr>
        <w:jc w:val="both"/>
      </w:pPr>
    </w:p>
    <w:p w14:paraId="0957D7E2" w14:textId="77777777" w:rsidR="00EA4043" w:rsidRDefault="00EA4043" w:rsidP="00511484">
      <w:pPr>
        <w:jc w:val="both"/>
      </w:pPr>
      <w:r>
        <w:t>Durante el periodo analizado se han realizado 95.000 comunicaciones mediante SMS, otras 155.000 a través del sistema Everbridge y 950.000 mediante correo electrónico, superando en conjunto los</w:t>
      </w:r>
      <w:r w:rsidRPr="592A01EB">
        <w:rPr>
          <w:b/>
          <w:bCs/>
        </w:rPr>
        <w:t xml:space="preserve"> 1,2 millones de avisos preventivos</w:t>
      </w:r>
      <w:r>
        <w:t>.</w:t>
      </w:r>
    </w:p>
    <w:p w14:paraId="0A01B905" w14:textId="77777777" w:rsidR="00EA4043" w:rsidRDefault="00EA4043" w:rsidP="00511484">
      <w:pPr>
        <w:jc w:val="both"/>
      </w:pPr>
    </w:p>
    <w:p w14:paraId="7F23A5F7" w14:textId="77777777" w:rsidR="00EA4043" w:rsidRPr="001109BE" w:rsidRDefault="00EA4043" w:rsidP="00511484">
      <w:pPr>
        <w:jc w:val="both"/>
        <w:rPr>
          <w:b/>
          <w:bCs/>
          <w:color w:val="003781" w:themeColor="background1"/>
        </w:rPr>
      </w:pPr>
      <w:r w:rsidRPr="001109BE">
        <w:rPr>
          <w:b/>
          <w:bCs/>
          <w:color w:val="003781" w:themeColor="background1"/>
        </w:rPr>
        <w:t>Tecnología para anticiparse al riesgo</w:t>
      </w:r>
    </w:p>
    <w:p w14:paraId="15A2FAEE" w14:textId="77777777" w:rsidR="00EA4043" w:rsidRDefault="00EA4043" w:rsidP="00511484">
      <w:pPr>
        <w:jc w:val="both"/>
      </w:pPr>
    </w:p>
    <w:p w14:paraId="28813C3A" w14:textId="77777777" w:rsidR="00EA4043" w:rsidRDefault="00EA4043" w:rsidP="00511484">
      <w:pPr>
        <w:jc w:val="both"/>
      </w:pPr>
      <w:r>
        <w:t>La colaboración con Satellites on Fire forma parte de la apuesta de Allianz por evolucionar desde un modelo centrado únicamente en responder ante un siniestro hacia una gestión cada vez más orientada a la prevención y anticipación del riesgo.</w:t>
      </w:r>
    </w:p>
    <w:p w14:paraId="00F046A7" w14:textId="77777777" w:rsidR="00EA4043" w:rsidRDefault="00EA4043" w:rsidP="00511484">
      <w:pPr>
        <w:jc w:val="both"/>
      </w:pPr>
    </w:p>
    <w:p w14:paraId="1CD33662" w14:textId="77777777" w:rsidR="00EA4043" w:rsidRDefault="00EA4043" w:rsidP="00511484">
      <w:pPr>
        <w:jc w:val="both"/>
      </w:pPr>
      <w:r>
        <w:t xml:space="preserve">El sistema monitoriza los incendios forestales en todo el territorio nacional y permite priorizar aquellos con mayor capacidad potencial de impacto sobre personas, bienes y actividad económica. Dentro de este modelo, Allianz estableció desde el inicio de la colaboración un umbral de seguimiento y aviso a partir de incendios que </w:t>
      </w:r>
      <w:r w:rsidRPr="000D74F7">
        <w:t>alcanzasen las 100 hectáreas</w:t>
      </w:r>
      <w:r>
        <w:t>, además de considerar factores como su localización y el riesgo potencial para los clientes.</w:t>
      </w:r>
    </w:p>
    <w:p w14:paraId="6DDA0C8A" w14:textId="77777777" w:rsidR="00EA4043" w:rsidRDefault="00EA4043" w:rsidP="00511484">
      <w:pPr>
        <w:jc w:val="both"/>
      </w:pPr>
    </w:p>
    <w:p w14:paraId="612005A7" w14:textId="77777777" w:rsidR="00EA4043" w:rsidRDefault="00EA4043" w:rsidP="00511484">
      <w:pPr>
        <w:jc w:val="both"/>
      </w:pPr>
      <w:r>
        <w:t>De esta forma, la compañía puede actuar ante incendios de una dimensión considerable antes incluso de que alcancen la consideración oficial de Gran Incendio Forestal (GIF), categoría que corresponde a aquellos que superan las 500 hectáreas.</w:t>
      </w:r>
    </w:p>
    <w:p w14:paraId="2485AF1C" w14:textId="77777777" w:rsidR="00EA4043" w:rsidRDefault="00EA4043" w:rsidP="00511484">
      <w:pPr>
        <w:jc w:val="both"/>
      </w:pPr>
    </w:p>
    <w:p w14:paraId="4F4B501A" w14:textId="77777777" w:rsidR="002B273D" w:rsidRDefault="002B273D" w:rsidP="00511484">
      <w:pPr>
        <w:jc w:val="both"/>
      </w:pPr>
    </w:p>
    <w:p w14:paraId="00954D18" w14:textId="74B3BEDF" w:rsidR="00EA4043" w:rsidRDefault="00EA4043" w:rsidP="00511484">
      <w:pPr>
        <w:jc w:val="both"/>
      </w:pPr>
      <w:r>
        <w:lastRenderedPageBreak/>
        <w:t>Durante los dos primeros meses de funcionamiento, 77 incendios forestales requirieron la activación de comunicaciones específicas a clientes por su ubicación, dimensión o riesgo potencial, incluyendo algunos de los episodios más significativos registrados en zonas de Madrid y Guadalajara.</w:t>
      </w:r>
      <w:r w:rsidR="0074534B">
        <w:t xml:space="preserve"> Esto</w:t>
      </w:r>
      <w:r>
        <w:t>s 77 episodios no representan la totalidad de incendios identificados por la plataforma, sino aquellos cuya evolución hizo aconsejable establecer una comunicación directa con los clientes. Esta capacidad de discriminación permite concentrar los avisos en aquellas situaciones en las que la información preventiva puede resultar especialmente relevante.</w:t>
      </w:r>
    </w:p>
    <w:p w14:paraId="7ABB4245" w14:textId="77777777" w:rsidR="00EA4043" w:rsidRPr="00CD2F3B" w:rsidRDefault="00EA4043" w:rsidP="00511484">
      <w:pPr>
        <w:jc w:val="both"/>
        <w:rPr>
          <w:color w:val="003781" w:themeColor="background1"/>
        </w:rPr>
      </w:pPr>
    </w:p>
    <w:p w14:paraId="6B37F9B2" w14:textId="77777777" w:rsidR="00EA4043" w:rsidRDefault="00EA4043" w:rsidP="00511484">
      <w:pPr>
        <w:jc w:val="both"/>
      </w:pPr>
      <w:r>
        <w:t>La iniciativa ha adquirido especial relevancia en un verano marcado por numerosos episodios de incendios forestales. Entre junio y agosto de 2026 se han declarado en España 44 Grandes Incendios Forestales (GIF), denominación que corresponde a aquellos que superan las 500 hectáreas de superficie afectada.</w:t>
      </w:r>
    </w:p>
    <w:p w14:paraId="5D73180D" w14:textId="77777777" w:rsidR="00EA4043" w:rsidRDefault="00EA4043" w:rsidP="00511484">
      <w:pPr>
        <w:jc w:val="both"/>
      </w:pPr>
    </w:p>
    <w:p w14:paraId="236E8444" w14:textId="77777777" w:rsidR="00EA4043" w:rsidRDefault="00EA4043" w:rsidP="00511484">
      <w:pPr>
        <w:jc w:val="both"/>
      </w:pPr>
      <w:r>
        <w:t>La dimensión y concentración de estos episodios refuerzan la importancia de disponer de herramientas capaces de identificar y evaluar rápidamente la evolución de un incendio y determinar su proximidad a personas, viviendas, empresas y otras actividades económicas.</w:t>
      </w:r>
    </w:p>
    <w:p w14:paraId="61D4DA80" w14:textId="77777777" w:rsidR="00EA4043" w:rsidRDefault="00EA4043" w:rsidP="00EA4043"/>
    <w:p w14:paraId="4649C54D" w14:textId="77777777" w:rsidR="005C6935" w:rsidRDefault="005C6935" w:rsidP="00F21363"/>
    <w:p w14:paraId="16A98BD3" w14:textId="77777777" w:rsidR="00036A5B" w:rsidRPr="007305EA" w:rsidRDefault="00036A5B" w:rsidP="00853D8C"/>
    <w:tbl>
      <w:tblPr>
        <w:tblStyle w:val="AZPressContact"/>
        <w:tblW w:w="0" w:type="auto"/>
        <w:tblBorders>
          <w:top w:val="single" w:sz="4" w:space="0" w:color="003781" w:themeColor="background1"/>
          <w:bottom w:val="single" w:sz="4" w:space="0" w:color="003781" w:themeColor="background1"/>
        </w:tblBorders>
        <w:tblLook w:val="0600" w:firstRow="0" w:lastRow="0" w:firstColumn="0" w:lastColumn="0" w:noHBand="1" w:noVBand="1"/>
      </w:tblPr>
      <w:tblGrid>
        <w:gridCol w:w="1984"/>
        <w:gridCol w:w="2721"/>
        <w:gridCol w:w="3855"/>
        <w:gridCol w:w="19"/>
      </w:tblGrid>
      <w:tr w:rsidR="00137935" w:rsidRPr="007305EA" w14:paraId="3642DFCB" w14:textId="77777777" w:rsidTr="00EB6C5C">
        <w:tc>
          <w:tcPr>
            <w:tcW w:w="8579" w:type="dxa"/>
            <w:gridSpan w:val="4"/>
            <w:tcMar>
              <w:bottom w:w="142" w:type="dxa"/>
            </w:tcMar>
          </w:tcPr>
          <w:p w14:paraId="1BFC39D2" w14:textId="2FABF0DA" w:rsidR="00137935" w:rsidRPr="007305EA" w:rsidRDefault="0034286C" w:rsidP="001E6D1C">
            <w:pPr>
              <w:rPr>
                <w:rStyle w:val="StyleBoldText2"/>
                <w:lang w:val="es-ES"/>
              </w:rPr>
            </w:pPr>
            <w:r w:rsidRPr="007305EA">
              <w:rPr>
                <w:rStyle w:val="StyleBoldText2"/>
                <w:lang w:val="es-ES"/>
              </w:rPr>
              <w:t>Para más información:</w:t>
            </w:r>
          </w:p>
        </w:tc>
      </w:tr>
      <w:tr w:rsidR="007A3DD9" w:rsidRPr="007305EA" w14:paraId="02A973FD" w14:textId="77777777" w:rsidTr="001C10B7">
        <w:trPr>
          <w:gridAfter w:val="1"/>
          <w:wAfter w:w="19" w:type="dxa"/>
          <w:trHeight w:val="422"/>
        </w:trPr>
        <w:tc>
          <w:tcPr>
            <w:tcW w:w="1984" w:type="dxa"/>
            <w:tcMar>
              <w:top w:w="142" w:type="dxa"/>
            </w:tcMar>
          </w:tcPr>
          <w:p w14:paraId="3E90328E" w14:textId="737F5F33" w:rsidR="0034286C" w:rsidRPr="007305EA" w:rsidRDefault="0034286C" w:rsidP="0034286C">
            <w:pPr>
              <w:rPr>
                <w:rStyle w:val="StyleBackground1"/>
                <w:lang w:val="es-ES"/>
              </w:rPr>
            </w:pPr>
            <w:r w:rsidRPr="007305EA">
              <w:rPr>
                <w:rStyle w:val="StyleBackground1"/>
                <w:lang w:val="es-ES"/>
              </w:rPr>
              <w:t>Sonia Rodríguez</w:t>
            </w:r>
            <w:r w:rsidR="00BD281C" w:rsidRPr="007305EA">
              <w:rPr>
                <w:rStyle w:val="StyleBackground1"/>
                <w:lang w:val="es-ES"/>
              </w:rPr>
              <w:t xml:space="preserve"> </w:t>
            </w:r>
          </w:p>
          <w:p w14:paraId="59B1BAEA" w14:textId="403931C4" w:rsidR="00137935" w:rsidRPr="007305EA" w:rsidRDefault="00137935" w:rsidP="00DC2140">
            <w:pPr>
              <w:rPr>
                <w:rStyle w:val="StyleBackground1"/>
                <w:lang w:val="es-ES"/>
              </w:rPr>
            </w:pPr>
          </w:p>
        </w:tc>
        <w:tc>
          <w:tcPr>
            <w:tcW w:w="2721" w:type="dxa"/>
            <w:tcMar>
              <w:top w:w="142" w:type="dxa"/>
            </w:tcMar>
          </w:tcPr>
          <w:p w14:paraId="125C94D4" w14:textId="1C746E7D" w:rsidR="007A3DD9" w:rsidRPr="007305EA" w:rsidRDefault="007A3DD9" w:rsidP="007A3DD9">
            <w:pPr>
              <w:rPr>
                <w:rStyle w:val="StyleBackground1"/>
                <w:lang w:val="es-ES"/>
              </w:rPr>
            </w:pPr>
            <w:r w:rsidRPr="007305EA">
              <w:rPr>
                <w:rStyle w:val="StyleBackground1"/>
                <w:lang w:val="es-ES"/>
              </w:rPr>
              <w:t>T</w:t>
            </w:r>
            <w:r w:rsidR="0034286C" w:rsidRPr="007305EA">
              <w:rPr>
                <w:rStyle w:val="StyleBackground1"/>
                <w:lang w:val="es-ES"/>
              </w:rPr>
              <w:t>el.</w:t>
            </w:r>
            <w:r w:rsidRPr="007305EA">
              <w:rPr>
                <w:rStyle w:val="StyleBackground1"/>
                <w:lang w:val="es-ES"/>
              </w:rPr>
              <w:t xml:space="preserve"> </w:t>
            </w:r>
            <w:r w:rsidR="0034286C" w:rsidRPr="007305EA">
              <w:rPr>
                <w:rStyle w:val="StyleBackground1"/>
                <w:lang w:val="es-ES"/>
              </w:rPr>
              <w:t>638 93 00 08</w:t>
            </w:r>
          </w:p>
          <w:p w14:paraId="25C474BA" w14:textId="5D271C70" w:rsidR="00137935" w:rsidRPr="007305EA" w:rsidRDefault="00137935" w:rsidP="00DC2140">
            <w:pPr>
              <w:rPr>
                <w:rStyle w:val="StyleBackground1"/>
                <w:lang w:val="es-ES"/>
              </w:rPr>
            </w:pPr>
          </w:p>
        </w:tc>
        <w:tc>
          <w:tcPr>
            <w:tcW w:w="3855" w:type="dxa"/>
            <w:tcMar>
              <w:top w:w="142" w:type="dxa"/>
            </w:tcMar>
          </w:tcPr>
          <w:p w14:paraId="672B4957" w14:textId="2BCD7DEC" w:rsidR="00137935" w:rsidRPr="007305EA" w:rsidRDefault="0034286C" w:rsidP="001C10B7">
            <w:pPr>
              <w:rPr>
                <w:rStyle w:val="StyleBackground1"/>
                <w:lang w:val="es-ES"/>
              </w:rPr>
            </w:pPr>
            <w:r w:rsidRPr="007305EA">
              <w:rPr>
                <w:rStyle w:val="StyleBackground1"/>
                <w:lang w:val="es-ES"/>
              </w:rPr>
              <w:t>sonia</w:t>
            </w:r>
            <w:r w:rsidR="00BD281C" w:rsidRPr="007305EA">
              <w:rPr>
                <w:rStyle w:val="StyleBackground1"/>
                <w:lang w:val="es-ES"/>
              </w:rPr>
              <w:t>.</w:t>
            </w:r>
            <w:r w:rsidRPr="007305EA">
              <w:rPr>
                <w:rStyle w:val="StyleBackground1"/>
                <w:lang w:val="es-ES"/>
              </w:rPr>
              <w:t>rodriguez</w:t>
            </w:r>
            <w:r w:rsidR="00BD281C" w:rsidRPr="007305EA">
              <w:rPr>
                <w:rStyle w:val="StyleBackground1"/>
                <w:lang w:val="es-ES"/>
              </w:rPr>
              <w:t>@allianz</w:t>
            </w:r>
            <w:r w:rsidR="007A3DD9" w:rsidRPr="007305EA">
              <w:rPr>
                <w:rStyle w:val="StyleBackground1"/>
                <w:lang w:val="es-ES"/>
              </w:rPr>
              <w:t>.</w:t>
            </w:r>
            <w:r w:rsidRPr="007305EA">
              <w:rPr>
                <w:rStyle w:val="StyleBackground1"/>
                <w:lang w:val="es-ES"/>
              </w:rPr>
              <w:t>es</w:t>
            </w:r>
          </w:p>
        </w:tc>
      </w:tr>
    </w:tbl>
    <w:p w14:paraId="39D35B2C" w14:textId="3D6B647F" w:rsidR="001E6D1C" w:rsidRPr="007305EA" w:rsidRDefault="0034286C" w:rsidP="00BA3CBC">
      <w:pPr>
        <w:pStyle w:val="Ttulo2"/>
      </w:pPr>
      <w:r w:rsidRPr="007305EA">
        <w:t>Sobre Allianz Seguros</w:t>
      </w:r>
    </w:p>
    <w:p w14:paraId="468744EF" w14:textId="77777777" w:rsidR="00BF5976" w:rsidRPr="007305EA" w:rsidRDefault="00BF5976" w:rsidP="0024193C">
      <w:pPr>
        <w:jc w:val="both"/>
      </w:pPr>
      <w:r w:rsidRPr="007305EA">
        <w:t>Allianz Seguros es la filial principal del Grupo Allianz en España y una de las compañías líderes del sector asegurador español. Con presencia en todo el territorio nacional, la compañía cuenta con más de 2.300 empleados y una red de más de 13.000 mediadores.</w:t>
      </w:r>
    </w:p>
    <w:p w14:paraId="3F48C481" w14:textId="77777777" w:rsidR="00BF5976" w:rsidRPr="007305EA" w:rsidRDefault="00BF5976" w:rsidP="0024193C">
      <w:pPr>
        <w:jc w:val="both"/>
      </w:pPr>
    </w:p>
    <w:p w14:paraId="1A3C5677" w14:textId="70C48C56" w:rsidR="00BF5976" w:rsidRPr="007305EA" w:rsidRDefault="00BF5976" w:rsidP="0024193C">
      <w:pPr>
        <w:jc w:val="both"/>
      </w:pPr>
      <w:r w:rsidRPr="007305EA">
        <w:t xml:space="preserve">Allianz Seguros ofrece seguros para particulares (Vida, Salud, Autos, Hogar y Accidentes) y para empresas (Multirriesgos, responsabilidad civil y soluciones personalizadas), combinando atención presencial en su red de sucursales con servicios digitales a través de su aplicación móvil y área de cliente online.Allianz Seguros forma parte del Grupo Allianz, uno de los principales aseguradores y gestores de activos del mundo, presente en cerca de 70 países y al servicio de alrededor de 97 millones de clientes particulares y corporativos*. </w:t>
      </w:r>
    </w:p>
    <w:p w14:paraId="311F35F6" w14:textId="77777777" w:rsidR="00BF5976" w:rsidRPr="007305EA" w:rsidRDefault="00BF5976" w:rsidP="00BF5976"/>
    <w:p w14:paraId="4D986C6D" w14:textId="2DAE3C3C" w:rsidR="001C10B7" w:rsidRPr="007305EA" w:rsidRDefault="00BF5976" w:rsidP="00BF5976">
      <w:r w:rsidRPr="007305EA">
        <w:t xml:space="preserve">Más información: </w:t>
      </w:r>
      <w:hyperlink r:id="rId14" w:history="1">
        <w:r w:rsidRPr="007305EA">
          <w:rPr>
            <w:rStyle w:val="Hipervnculo"/>
          </w:rPr>
          <w:t>https://www.allianz.es/.</w:t>
        </w:r>
      </w:hyperlink>
    </w:p>
    <w:p w14:paraId="72DCABB0" w14:textId="77777777" w:rsidR="000E6184" w:rsidRPr="007305EA" w:rsidRDefault="000E6184" w:rsidP="00827A62"/>
    <w:p w14:paraId="544CE84A" w14:textId="7BDCA968" w:rsidR="3825F036" w:rsidRDefault="3825F036">
      <w:r w:rsidRPr="2962E018">
        <w:rPr>
          <w:rFonts w:asciiTheme="majorHAnsi" w:eastAsiaTheme="majorEastAsia" w:hAnsiTheme="majorHAnsi" w:cstheme="majorBidi"/>
          <w:b/>
          <w:bCs/>
          <w:color w:val="003781" w:themeColor="background1"/>
          <w:szCs w:val="20"/>
        </w:rPr>
        <w:t>Sobre Satellites on Fire</w:t>
      </w:r>
    </w:p>
    <w:p w14:paraId="719C693D" w14:textId="5AFFCE38" w:rsidR="2962E018" w:rsidRDefault="2962E018"/>
    <w:p w14:paraId="7A3E0E35" w14:textId="566ED1C4" w:rsidR="3825F036" w:rsidRDefault="3825F036" w:rsidP="2962E018">
      <w:pPr>
        <w:jc w:val="both"/>
      </w:pPr>
      <w:r>
        <w:t xml:space="preserve">Satellites on Fire es una plataforma tecnológica que integra imágenes satelitales, cámaras y algoritmos de inteligencia artificial propios para la prevención, predicción, detección y monitoreo temprano de incendios forestales. Detecta incendios más rápido que el sistema de NASA, opera en 21 países de 5 continentes, protege más de 92 millones de hectáreas y ayuda a atacar más de 2.000 </w:t>
      </w:r>
      <w:r>
        <w:lastRenderedPageBreak/>
        <w:t>incendios por año. Recibió más de 3,6 millones de dólares de inversión y financiamiento de instituciones como el MIT, Naciones Unidas y la Universidad de Cornell</w:t>
      </w:r>
    </w:p>
    <w:p w14:paraId="78597A70" w14:textId="77777777" w:rsidR="00F72E43" w:rsidRPr="007305EA" w:rsidRDefault="00F72E43" w:rsidP="008640C9"/>
    <w:p w14:paraId="430C8A9A" w14:textId="26957AE0" w:rsidR="00EB6C5C" w:rsidRPr="007305EA" w:rsidRDefault="00FF57EC" w:rsidP="00B1634E">
      <w:pPr>
        <w:pStyle w:val="AZ-PSmall"/>
      </w:pPr>
      <w:r w:rsidRPr="007305EA">
        <w:t xml:space="preserve">Estas aseveraciones quedan, como siempre, sujetas a la siguiente </w:t>
      </w:r>
      <w:hyperlink r:id="rId15" w:history="1">
        <w:r w:rsidRPr="007305EA">
          <w:rPr>
            <w:rStyle w:val="Hipervnculo"/>
          </w:rPr>
          <w:t>nota preventiva.</w:t>
        </w:r>
      </w:hyperlink>
    </w:p>
    <w:p w14:paraId="73BB3DDB" w14:textId="77777777" w:rsidR="00BD1313" w:rsidRPr="007305EA" w:rsidRDefault="00BD1313" w:rsidP="00B1634E">
      <w:pPr>
        <w:pStyle w:val="AZ-PSmall"/>
      </w:pPr>
    </w:p>
    <w:p w14:paraId="524D244D" w14:textId="77777777" w:rsidR="004E5839" w:rsidRPr="007305EA" w:rsidRDefault="004E5839" w:rsidP="00B1634E">
      <w:pPr>
        <w:pStyle w:val="AZ-PSmall"/>
      </w:pPr>
    </w:p>
    <w:p w14:paraId="76664B2F" w14:textId="0E6C87F9" w:rsidR="004E5839" w:rsidRPr="005072B6" w:rsidRDefault="004E5839" w:rsidP="00B1634E">
      <w:pPr>
        <w:pStyle w:val="AZ-PSmall"/>
      </w:pPr>
    </w:p>
    <w:sectPr w:rsidR="004E5839" w:rsidRPr="005072B6" w:rsidSect="005D10A6">
      <w:headerReference w:type="even" r:id="rId16"/>
      <w:headerReference w:type="default" r:id="rId17"/>
      <w:footerReference w:type="default" r:id="rId18"/>
      <w:headerReference w:type="first" r:id="rId19"/>
      <w:footerReference w:type="first" r:id="rId20"/>
      <w:pgSz w:w="11906" w:h="16838"/>
      <w:pgMar w:top="2495" w:right="765" w:bottom="1418" w:left="2552" w:header="709" w:footer="737" w:gutter="0"/>
      <w:cols w:space="708"/>
      <w:titlePg/>
      <w:docGrid w:linePitch="4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FE0E73" w14:textId="77777777" w:rsidR="00D14A03" w:rsidRPr="007305EA" w:rsidRDefault="00D14A03" w:rsidP="009F69DD">
      <w:r w:rsidRPr="007305EA">
        <w:separator/>
      </w:r>
    </w:p>
  </w:endnote>
  <w:endnote w:type="continuationSeparator" w:id="0">
    <w:p w14:paraId="16CDE940" w14:textId="77777777" w:rsidR="00D14A03" w:rsidRPr="007305EA" w:rsidRDefault="00D14A03" w:rsidP="009F69DD">
      <w:r w:rsidRPr="007305E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llianz Neo">
    <w:panose1 w:val="020B0504020203020204"/>
    <w:charset w:val="00"/>
    <w:family w:val="swiss"/>
    <w:pitch w:val="variable"/>
    <w:sig w:usb0="A0000067" w:usb1="00000001" w:usb2="00000000" w:usb3="00000000" w:csb0="00000093"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Hei">
    <w:panose1 w:val="02010600030101010101"/>
    <w:charset w:val="86"/>
    <w:family w:val="modern"/>
    <w:pitch w:val="fixed"/>
    <w:sig w:usb0="800002BF" w:usb1="38CF7CFA" w:usb2="00000016" w:usb3="00000000" w:csb0="00040001" w:csb1="00000000"/>
  </w:font>
  <w:font w:name="Allianz Neo SemiBold">
    <w:charset w:val="00"/>
    <w:family w:val="swiss"/>
    <w:pitch w:val="variable"/>
    <w:sig w:usb0="A0000067" w:usb1="00000001" w:usb2="00000000" w:usb3="00000000" w:csb0="00000093"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BF8F0E" w14:textId="77777777" w:rsidR="00070BAA" w:rsidRPr="007305EA" w:rsidRDefault="00070BAA" w:rsidP="007D01A7">
    <w:pPr>
      <w:pStyle w:val="Piedepgina"/>
      <w:jc w:val="right"/>
    </w:pPr>
    <w:r w:rsidRPr="007305EA">
      <w:rPr>
        <w:color w:val="414141" w:themeColor="background2"/>
      </w:rPr>
      <w:fldChar w:fldCharType="begin"/>
    </w:r>
    <w:r w:rsidRPr="007305EA">
      <w:rPr>
        <w:color w:val="414141" w:themeColor="background2"/>
      </w:rPr>
      <w:instrText xml:space="preserve"> PAGE   \* MERGEFORMAT </w:instrText>
    </w:r>
    <w:r w:rsidRPr="007305EA">
      <w:rPr>
        <w:color w:val="414141" w:themeColor="background2"/>
      </w:rPr>
      <w:fldChar w:fldCharType="separate"/>
    </w:r>
    <w:r w:rsidRPr="007305EA">
      <w:rPr>
        <w:color w:val="414141" w:themeColor="background2"/>
      </w:rPr>
      <w:t>2</w:t>
    </w:r>
    <w:r w:rsidRPr="007305EA">
      <w:rPr>
        <w:color w:val="414141" w:themeColor="background2"/>
      </w:rPr>
      <w:fldChar w:fldCharType="end"/>
    </w:r>
    <w:r w:rsidRPr="007305EA">
      <w:rPr>
        <w:color w:val="414141" w:themeColor="background2"/>
      </w:rPr>
      <w:t>/</w:t>
    </w:r>
    <w:r w:rsidRPr="007305EA">
      <w:rPr>
        <w:color w:val="414141" w:themeColor="background2"/>
      </w:rPr>
      <w:fldChar w:fldCharType="begin"/>
    </w:r>
    <w:r w:rsidRPr="007305EA">
      <w:rPr>
        <w:color w:val="414141" w:themeColor="background2"/>
      </w:rPr>
      <w:instrText xml:space="preserve"> NUMPAGES  \* Arabic  \* MERGEFORMAT </w:instrText>
    </w:r>
    <w:r w:rsidRPr="007305EA">
      <w:rPr>
        <w:color w:val="414141" w:themeColor="background2"/>
      </w:rPr>
      <w:fldChar w:fldCharType="separate"/>
    </w:r>
    <w:r w:rsidRPr="007305EA">
      <w:rPr>
        <w:color w:val="414141" w:themeColor="background2"/>
      </w:rPr>
      <w:t>2</w:t>
    </w:r>
    <w:r w:rsidRPr="007305EA">
      <w:rPr>
        <w:color w:val="414141" w:themeColor="background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00E2E3" w14:textId="77777777" w:rsidR="00A90DBF" w:rsidRPr="007305EA" w:rsidRDefault="005D10A6" w:rsidP="007D01A7">
    <w:pPr>
      <w:pStyle w:val="Piedepgina"/>
      <w:jc w:val="right"/>
    </w:pPr>
    <w:r w:rsidRPr="007305EA">
      <w:rPr>
        <w:color w:val="414141" w:themeColor="background2"/>
      </w:rPr>
      <w:fldChar w:fldCharType="begin"/>
    </w:r>
    <w:r w:rsidRPr="007305EA">
      <w:rPr>
        <w:color w:val="414141" w:themeColor="background2"/>
      </w:rPr>
      <w:instrText xml:space="preserve"> PAGE   \* MERGEFORMAT </w:instrText>
    </w:r>
    <w:r w:rsidRPr="007305EA">
      <w:rPr>
        <w:color w:val="414141" w:themeColor="background2"/>
      </w:rPr>
      <w:fldChar w:fldCharType="separate"/>
    </w:r>
    <w:r w:rsidRPr="007305EA">
      <w:rPr>
        <w:color w:val="414141" w:themeColor="background2"/>
      </w:rPr>
      <w:t>2</w:t>
    </w:r>
    <w:r w:rsidRPr="007305EA">
      <w:rPr>
        <w:color w:val="414141" w:themeColor="background2"/>
      </w:rPr>
      <w:fldChar w:fldCharType="end"/>
    </w:r>
    <w:r w:rsidRPr="007305EA">
      <w:rPr>
        <w:color w:val="414141" w:themeColor="background2"/>
      </w:rPr>
      <w:t>/</w:t>
    </w:r>
    <w:r w:rsidRPr="007305EA">
      <w:rPr>
        <w:color w:val="414141" w:themeColor="background2"/>
      </w:rPr>
      <w:fldChar w:fldCharType="begin"/>
    </w:r>
    <w:r w:rsidRPr="007305EA">
      <w:rPr>
        <w:color w:val="414141" w:themeColor="background2"/>
      </w:rPr>
      <w:instrText xml:space="preserve"> NUMPAGES  \* Arabic  \* MERGEFORMAT </w:instrText>
    </w:r>
    <w:r w:rsidRPr="007305EA">
      <w:rPr>
        <w:color w:val="414141" w:themeColor="background2"/>
      </w:rPr>
      <w:fldChar w:fldCharType="separate"/>
    </w:r>
    <w:r w:rsidRPr="007305EA">
      <w:rPr>
        <w:color w:val="414141" w:themeColor="background2"/>
      </w:rPr>
      <w:t>2</w:t>
    </w:r>
    <w:r w:rsidRPr="007305EA">
      <w:rPr>
        <w:color w:val="414141" w:themeColor="background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18B19F" w14:textId="77777777" w:rsidR="00D14A03" w:rsidRPr="007305EA" w:rsidRDefault="00D14A03" w:rsidP="009F69DD">
      <w:r w:rsidRPr="007305EA">
        <w:separator/>
      </w:r>
    </w:p>
  </w:footnote>
  <w:footnote w:type="continuationSeparator" w:id="0">
    <w:p w14:paraId="61E2606D" w14:textId="77777777" w:rsidR="00D14A03" w:rsidRPr="007305EA" w:rsidRDefault="00D14A03" w:rsidP="009F69DD">
      <w:r w:rsidRPr="007305E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4115CF" w14:textId="426B000E" w:rsidR="001C10B7" w:rsidRPr="007305EA" w:rsidRDefault="001C10B7">
    <w:pPr>
      <w:pStyle w:val="Encabezado"/>
    </w:pPr>
    <w:r w:rsidRPr="007305EA">
      <mc:AlternateContent>
        <mc:Choice Requires="wps">
          <w:drawing>
            <wp:anchor distT="0" distB="0" distL="0" distR="0" simplePos="0" relativeHeight="251658245" behindDoc="0" locked="0" layoutInCell="1" allowOverlap="1" wp14:anchorId="1DEDF699" wp14:editId="0D5788F5">
              <wp:simplePos x="635" y="635"/>
              <wp:positionH relativeFrom="page">
                <wp:align>center</wp:align>
              </wp:positionH>
              <wp:positionV relativeFrom="page">
                <wp:align>top</wp:align>
              </wp:positionV>
              <wp:extent cx="405765" cy="355600"/>
              <wp:effectExtent l="0" t="0" r="13335" b="6350"/>
              <wp:wrapNone/>
              <wp:docPr id="1203036675" name="Cuadro de texto 2" descr="Intern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05765" cy="355600"/>
                      </a:xfrm>
                      <a:prstGeom prst="rect">
                        <a:avLst/>
                      </a:prstGeom>
                      <a:noFill/>
                      <a:ln>
                        <a:noFill/>
                      </a:ln>
                    </wps:spPr>
                    <wps:txbx>
                      <w:txbxContent>
                        <w:p w14:paraId="488E7C2A" w14:textId="1D3E3658" w:rsidR="001C10B7" w:rsidRPr="007305EA" w:rsidRDefault="001C10B7" w:rsidP="001C10B7">
                          <w:pPr>
                            <w:rPr>
                              <w:rFonts w:ascii="Calibri" w:eastAsia="Calibri" w:hAnsi="Calibri" w:cs="Calibri"/>
                              <w:color w:val="000000"/>
                              <w:szCs w:val="20"/>
                            </w:rPr>
                          </w:pPr>
                          <w:r w:rsidRPr="007305EA">
                            <w:rPr>
                              <w:rFonts w:ascii="Calibri" w:eastAsia="Calibri" w:hAnsi="Calibri" w:cs="Calibri"/>
                              <w:color w:val="000000"/>
                              <w:szCs w:val="20"/>
                            </w:rPr>
                            <w:t>Internal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DEDF699" id="_x0000_t202" coordsize="21600,21600" o:spt="202" path="m,l,21600r21600,l21600,xe">
              <v:stroke joinstyle="miter"/>
              <v:path gradientshapeok="t" o:connecttype="rect"/>
            </v:shapetype>
            <v:shape id="Cuadro de texto 2" o:spid="_x0000_s1026" type="#_x0000_t202" alt="Internal" style="position:absolute;margin-left:0;margin-top:0;width:31.95pt;height:28pt;z-index:251658245;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" filled="f" stroked="f">
              <v:textbox style="mso-fit-shape-to-text:t" inset="0,15pt,0,0">
                <w:txbxContent>
                  <w:p w14:paraId="488E7C2A" w14:textId="1D3E3658" w:rsidR="001C10B7" w:rsidRPr="007305EA" w:rsidRDefault="001C10B7" w:rsidP="001C10B7">
                    <w:pPr>
                      <w:rPr>
                        <w:rFonts w:ascii="Calibri" w:eastAsia="Calibri" w:hAnsi="Calibri" w:cs="Calibri"/>
                        <w:color w:val="000000"/>
                        <w:szCs w:val="20"/>
                      </w:rPr>
                    </w:pPr>
                    <w:r w:rsidRPr="007305EA">
                      <w:rPr>
                        <w:rFonts w:ascii="Calibri" w:eastAsia="Calibri" w:hAnsi="Calibri" w:cs="Calibri"/>
                        <w:color w:val="000000"/>
                        <w:szCs w:val="20"/>
                      </w:rPr>
                      <w:t>Internal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96D101" w14:textId="631BA86A" w:rsidR="00F77599" w:rsidRPr="007305EA" w:rsidRDefault="001C10B7" w:rsidP="009F69DD">
    <w:pPr>
      <w:pStyle w:val="Encabezado"/>
    </w:pPr>
    <w:r w:rsidRPr="007305EA">
      <mc:AlternateContent>
        <mc:Choice Requires="wps">
          <w:drawing>
            <wp:anchor distT="0" distB="0" distL="0" distR="0" simplePos="0" relativeHeight="251658246" behindDoc="0" locked="0" layoutInCell="1" allowOverlap="1" wp14:anchorId="3718D2E2" wp14:editId="665029C3">
              <wp:simplePos x="1621155" y="450850"/>
              <wp:positionH relativeFrom="page">
                <wp:align>center</wp:align>
              </wp:positionH>
              <wp:positionV relativeFrom="page">
                <wp:align>top</wp:align>
              </wp:positionV>
              <wp:extent cx="405765" cy="355600"/>
              <wp:effectExtent l="0" t="0" r="13335" b="6350"/>
              <wp:wrapNone/>
              <wp:docPr id="857563756" name="Cuadro de texto 3" descr="Intern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05765" cy="355600"/>
                      </a:xfrm>
                      <a:prstGeom prst="rect">
                        <a:avLst/>
                      </a:prstGeom>
                      <a:noFill/>
                      <a:ln>
                        <a:noFill/>
                      </a:ln>
                    </wps:spPr>
                    <wps:txbx>
                      <w:txbxContent>
                        <w:p w14:paraId="443E60AD" w14:textId="280F9FF2" w:rsidR="001C10B7" w:rsidRPr="007305EA" w:rsidRDefault="001C10B7" w:rsidP="001C10B7">
                          <w:pPr>
                            <w:rPr>
                              <w:rFonts w:ascii="Calibri" w:eastAsia="Calibri" w:hAnsi="Calibri" w:cs="Calibri"/>
                              <w:color w:val="000000"/>
                              <w:szCs w:val="20"/>
                            </w:rPr>
                          </w:pPr>
                          <w:r w:rsidRPr="007305EA">
                            <w:rPr>
                              <w:rFonts w:ascii="Calibri" w:eastAsia="Calibri" w:hAnsi="Calibri" w:cs="Calibri"/>
                              <w:color w:val="000000"/>
                              <w:szCs w:val="20"/>
                            </w:rPr>
                            <w:t>Internal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718D2E2" id="_x0000_t202" coordsize="21600,21600" o:spt="202" path="m,l,21600r21600,l21600,xe">
              <v:stroke joinstyle="miter"/>
              <v:path gradientshapeok="t" o:connecttype="rect"/>
            </v:shapetype>
            <v:shape id="Cuadro de texto 3" o:spid="_x0000_s1027" type="#_x0000_t202" alt="Internal" style="position:absolute;margin-left:0;margin-top:0;width:31.95pt;height:28pt;z-index:25165824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" filled="f" stroked="f">
              <v:textbox style="mso-fit-shape-to-text:t" inset="0,15pt,0,0">
                <w:txbxContent>
                  <w:p w14:paraId="443E60AD" w14:textId="280F9FF2" w:rsidR="001C10B7" w:rsidRPr="007305EA" w:rsidRDefault="001C10B7" w:rsidP="001C10B7">
                    <w:pPr>
                      <w:rPr>
                        <w:rFonts w:ascii="Calibri" w:eastAsia="Calibri" w:hAnsi="Calibri" w:cs="Calibri"/>
                        <w:color w:val="000000"/>
                        <w:szCs w:val="20"/>
                      </w:rPr>
                    </w:pPr>
                    <w:r w:rsidRPr="007305EA">
                      <w:rPr>
                        <w:rFonts w:ascii="Calibri" w:eastAsia="Calibri" w:hAnsi="Calibri" w:cs="Calibri"/>
                        <w:color w:val="000000"/>
                        <w:szCs w:val="20"/>
                      </w:rPr>
                      <w:t>Internal</w:t>
                    </w:r>
                  </w:p>
                </w:txbxContent>
              </v:textbox>
              <w10:wrap anchorx="page" anchory="page"/>
            </v:shape>
          </w:pict>
        </mc:Fallback>
      </mc:AlternateContent>
    </w:r>
    <w:r w:rsidR="00B604AC" w:rsidRPr="007305EA">
      <mc:AlternateContent>
        <mc:Choice Requires="wps">
          <w:drawing>
            <wp:anchor distT="0" distB="0" distL="114300" distR="114300" simplePos="0" relativeHeight="251658243" behindDoc="0" locked="0" layoutInCell="1" allowOverlap="1" wp14:anchorId="47A379D0" wp14:editId="6584EE7C">
              <wp:simplePos x="0" y="0"/>
              <wp:positionH relativeFrom="column">
                <wp:posOffset>15875</wp:posOffset>
              </wp:positionH>
              <wp:positionV relativeFrom="paragraph">
                <wp:posOffset>972185</wp:posOffset>
              </wp:positionV>
              <wp:extent cx="5400000" cy="612000"/>
              <wp:effectExtent l="0" t="0" r="10795" b="17145"/>
              <wp:wrapTopAndBottom/>
              <wp:docPr id="4" name="Rechteck 4"/>
              <wp:cNvGraphicFramePr/>
              <a:graphic xmlns:a="http://schemas.openxmlformats.org/drawingml/2006/main">
                <a:graphicData uri="http://schemas.microsoft.com/office/word/2010/wordprocessingShape">
                  <wps:wsp>
                    <wps:cNvSpPr/>
                    <wps:spPr>
                      <a:xfrm>
                        <a:off x="0" y="0"/>
                        <a:ext cx="5400000" cy="612000"/>
                      </a:xfrm>
                      <a:prstGeom prst="rect">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84A6897" id="Rechteck 4" o:spid="_x0000_s1026" style="position:absolute;margin-left:1.25pt;margin-top:76.55pt;width:425.2pt;height:48.2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" fillcolor="white [3213]" strokecolor="white [3213]" strokeweight="2pt">
              <w10:wrap type="topAndBottom"/>
            </v:rect>
          </w:pict>
        </mc:Fallback>
      </mc:AlternateContent>
    </w:r>
    <w:r w:rsidR="00A76C73" w:rsidRPr="007305EA">
      <mc:AlternateContent>
        <mc:Choice Requires="wps">
          <w:drawing>
            <wp:anchor distT="0" distB="0" distL="114300" distR="114300" simplePos="0" relativeHeight="251658241" behindDoc="0" locked="1" layoutInCell="1" allowOverlap="1" wp14:anchorId="37BE07A7" wp14:editId="10386E22">
              <wp:simplePos x="0" y="0"/>
              <wp:positionH relativeFrom="page">
                <wp:posOffset>485775</wp:posOffset>
              </wp:positionH>
              <wp:positionV relativeFrom="page">
                <wp:posOffset>2016125</wp:posOffset>
              </wp:positionV>
              <wp:extent cx="1033200" cy="885600"/>
              <wp:effectExtent l="0" t="0" r="14605" b="10160"/>
              <wp:wrapNone/>
              <wp:docPr id="10" name="Textfeld 10"/>
              <wp:cNvGraphicFramePr/>
              <a:graphic xmlns:a="http://schemas.openxmlformats.org/drawingml/2006/main">
                <a:graphicData uri="http://schemas.microsoft.com/office/word/2010/wordprocessingShape">
                  <wps:wsp>
                    <wps:cNvSpPr txBox="1"/>
                    <wps:spPr>
                      <a:xfrm>
                        <a:off x="0" y="0"/>
                        <a:ext cx="1033200" cy="885600"/>
                      </a:xfrm>
                      <a:prstGeom prst="rect">
                        <a:avLst/>
                      </a:prstGeom>
                      <a:noFill/>
                      <a:ln w="6350">
                        <a:noFill/>
                      </a:ln>
                    </wps:spPr>
                    <wps:txbx>
                      <w:txbxContent>
                        <w:p w14:paraId="4AE21A15" w14:textId="206026BA" w:rsidR="00A76C73" w:rsidRPr="007305EA" w:rsidRDefault="001C16F5" w:rsidP="00685E57">
                          <w:pPr>
                            <w:pStyle w:val="AZ-PDate"/>
                          </w:pPr>
                          <w:fldSimple w:instr=" STYLEREF  &quot;AZ-P Date&quot;  \* MERGEFORMAT ">
                            <w:r w:rsidR="00DD5BA5">
                              <w:t>10 Septiembre 2026</w:t>
                            </w:r>
                          </w:fldSimple>
                        </w:p>
                        <w:p w14:paraId="5F0F6D58" w14:textId="41632CEF" w:rsidR="005D10A6" w:rsidRPr="007305EA" w:rsidRDefault="001C16F5" w:rsidP="00685E57">
                          <w:pPr>
                            <w:pStyle w:val="AZ-PDate"/>
                          </w:pPr>
                          <w:fldSimple w:instr=" STYLEREF  &quot;AZ-P Date2&quot;  \* MERGEFORMAT ">
                            <w:r w:rsidR="00DD5BA5">
                              <w:t>Madrid</w:t>
                            </w:r>
                          </w:fldSimple>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BE07A7" id="Textfeld 10" o:spid="_x0000_s1028" type="#_x0000_t202" style="position:absolute;margin-left:38.25pt;margin-top:158.75pt;width:81.35pt;height:69.75pt;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" filled="f" stroked="f" strokeweight=".5pt">
              <v:textbox inset="0,0,0,0">
                <w:txbxContent>
                  <w:p w14:paraId="4AE21A15" w14:textId="206026BA" w:rsidR="00A76C73" w:rsidRPr="007305EA" w:rsidRDefault="001C16F5" w:rsidP="00685E57">
                    <w:pPr>
                      <w:pStyle w:val="AZ-PDate"/>
                    </w:pPr>
                    <w:fldSimple w:instr=" STYLEREF  &quot;AZ-P Date&quot;  \* MERGEFORMAT ">
                      <w:r w:rsidR="00DD5BA5">
                        <w:t>10 Septiembre 2026</w:t>
                      </w:r>
                    </w:fldSimple>
                  </w:p>
                  <w:p w14:paraId="5F0F6D58" w14:textId="41632CEF" w:rsidR="005D10A6" w:rsidRPr="007305EA" w:rsidRDefault="001C16F5" w:rsidP="00685E57">
                    <w:pPr>
                      <w:pStyle w:val="AZ-PDate"/>
                    </w:pPr>
                    <w:fldSimple w:instr=" STYLEREF  &quot;AZ-P Date2&quot;  \* MERGEFORMAT ">
                      <w:r w:rsidR="00DD5BA5">
                        <w:t>Madrid</w:t>
                      </w:r>
                    </w:fldSimple>
                  </w:p>
                </w:txbxContent>
              </v:textbox>
              <w10:wrap anchorx="page" anchory="page"/>
              <w10:anchorlock/>
            </v:shape>
          </w:pict>
        </mc:Fallback>
      </mc:AlternateContent>
    </w:r>
    <w:r w:rsidR="00F77599" w:rsidRPr="007305EA">
      <w:drawing>
        <wp:anchor distT="0" distB="0" distL="114300" distR="114300" simplePos="0" relativeHeight="251658240" behindDoc="0" locked="1" layoutInCell="1" allowOverlap="1" wp14:anchorId="5FE5C75F" wp14:editId="0D1E6A1F">
          <wp:simplePos x="0" y="0"/>
          <wp:positionH relativeFrom="page">
            <wp:posOffset>488950</wp:posOffset>
          </wp:positionH>
          <wp:positionV relativeFrom="page">
            <wp:posOffset>490220</wp:posOffset>
          </wp:positionV>
          <wp:extent cx="1439545" cy="359410"/>
          <wp:effectExtent l="0" t="0" r="8255" b="2540"/>
          <wp:wrapSquare wrapText="bothSides"/>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5"/>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439545" cy="35941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61B14D" w14:textId="285A37D8" w:rsidR="00A76C73" w:rsidRPr="007305EA" w:rsidRDefault="001C10B7" w:rsidP="009F69DD">
    <w:pPr>
      <w:pStyle w:val="Encabezado"/>
    </w:pPr>
    <w:r w:rsidRPr="007305EA">
      <mc:AlternateContent>
        <mc:Choice Requires="wps">
          <w:drawing>
            <wp:anchor distT="0" distB="0" distL="0" distR="0" simplePos="0" relativeHeight="251658244" behindDoc="0" locked="0" layoutInCell="1" allowOverlap="1" wp14:anchorId="281D334F" wp14:editId="694B92F5">
              <wp:simplePos x="1623060" y="449580"/>
              <wp:positionH relativeFrom="page">
                <wp:align>center</wp:align>
              </wp:positionH>
              <wp:positionV relativeFrom="page">
                <wp:align>top</wp:align>
              </wp:positionV>
              <wp:extent cx="405765" cy="355600"/>
              <wp:effectExtent l="0" t="0" r="13335" b="6350"/>
              <wp:wrapNone/>
              <wp:docPr id="1786427490" name="Cuadro de texto 1" descr="Intern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05765" cy="355600"/>
                      </a:xfrm>
                      <a:prstGeom prst="rect">
                        <a:avLst/>
                      </a:prstGeom>
                      <a:noFill/>
                      <a:ln>
                        <a:noFill/>
                      </a:ln>
                    </wps:spPr>
                    <wps:txbx>
                      <w:txbxContent>
                        <w:p w14:paraId="6CF1F425" w14:textId="19301233" w:rsidR="001C10B7" w:rsidRPr="007305EA" w:rsidRDefault="001C10B7" w:rsidP="001C10B7">
                          <w:pPr>
                            <w:rPr>
                              <w:rFonts w:ascii="Calibri" w:eastAsia="Calibri" w:hAnsi="Calibri" w:cs="Calibri"/>
                              <w:color w:val="000000"/>
                              <w:szCs w:val="20"/>
                            </w:rPr>
                          </w:pPr>
                          <w:r w:rsidRPr="007305EA">
                            <w:rPr>
                              <w:rFonts w:ascii="Calibri" w:eastAsia="Calibri" w:hAnsi="Calibri" w:cs="Calibri"/>
                              <w:color w:val="000000"/>
                              <w:szCs w:val="20"/>
                            </w:rPr>
                            <w:t>Internal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81D334F" id="_x0000_t202" coordsize="21600,21600" o:spt="202" path="m,l,21600r21600,l21600,xe">
              <v:stroke joinstyle="miter"/>
              <v:path gradientshapeok="t" o:connecttype="rect"/>
            </v:shapetype>
            <v:shape id="Cuadro de texto 1" o:spid="_x0000_s1029" type="#_x0000_t202" alt="Internal" style="position:absolute;margin-left:0;margin-top:0;width:31.95pt;height:28pt;z-index:25165824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" filled="f" stroked="f">
              <v:textbox style="mso-fit-shape-to-text:t" inset="0,15pt,0,0">
                <w:txbxContent>
                  <w:p w14:paraId="6CF1F425" w14:textId="19301233" w:rsidR="001C10B7" w:rsidRPr="007305EA" w:rsidRDefault="001C10B7" w:rsidP="001C10B7">
                    <w:pPr>
                      <w:rPr>
                        <w:rFonts w:ascii="Calibri" w:eastAsia="Calibri" w:hAnsi="Calibri" w:cs="Calibri"/>
                        <w:color w:val="000000"/>
                        <w:szCs w:val="20"/>
                      </w:rPr>
                    </w:pPr>
                    <w:r w:rsidRPr="007305EA">
                      <w:rPr>
                        <w:rFonts w:ascii="Calibri" w:eastAsia="Calibri" w:hAnsi="Calibri" w:cs="Calibri"/>
                        <w:color w:val="000000"/>
                        <w:szCs w:val="20"/>
                      </w:rPr>
                      <w:t>Internal</w:t>
                    </w:r>
                  </w:p>
                </w:txbxContent>
              </v:textbox>
              <w10:wrap anchorx="page" anchory="page"/>
            </v:shape>
          </w:pict>
        </mc:Fallback>
      </mc:AlternateContent>
    </w:r>
    <w:r w:rsidR="00A76C73" w:rsidRPr="007305EA">
      <w:drawing>
        <wp:anchor distT="0" distB="0" distL="114300" distR="114300" simplePos="0" relativeHeight="251658242" behindDoc="0" locked="1" layoutInCell="1" allowOverlap="1" wp14:anchorId="62D9DC3C" wp14:editId="5AE2D3BF">
          <wp:simplePos x="0" y="0"/>
          <wp:positionH relativeFrom="page">
            <wp:posOffset>497840</wp:posOffset>
          </wp:positionH>
          <wp:positionV relativeFrom="page">
            <wp:posOffset>486410</wp:posOffset>
          </wp:positionV>
          <wp:extent cx="1439545" cy="359410"/>
          <wp:effectExtent l="0" t="0" r="8255" b="2540"/>
          <wp:wrapSquare wrapText="bothSides"/>
          <wp:docPr id="11"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5"/>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439545" cy="35941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F26E9"/>
    <w:multiLevelType w:val="hybridMultilevel"/>
    <w:tmpl w:val="5A2EF430"/>
    <w:lvl w:ilvl="0" w:tplc="5AC242A4">
      <w:start w:val="1"/>
      <w:numFmt w:val="bullet"/>
      <w:pStyle w:val="AZ-PList"/>
      <w:lvlText w:val="•"/>
      <w:lvlJc w:val="left"/>
      <w:pPr>
        <w:ind w:left="720" w:hanging="360"/>
      </w:pPr>
      <w:rPr>
        <w:rFonts w:ascii="Allianz Neo" w:hAnsi="Allianz Neo" w:hint="default"/>
        <w:color w:val="003781" w:themeColor="background1"/>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4F7C2039"/>
    <w:multiLevelType w:val="hybridMultilevel"/>
    <w:tmpl w:val="A7584E7E"/>
    <w:lvl w:ilvl="0" w:tplc="437A2BF8">
      <w:start w:val="1"/>
      <w:numFmt w:val="decimal"/>
      <w:pStyle w:val="Prrafodelista"/>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52F37B26"/>
    <w:multiLevelType w:val="hybridMultilevel"/>
    <w:tmpl w:val="5614B2B4"/>
    <w:lvl w:ilvl="0" w:tplc="1A6C24AE">
      <w:start w:val="1"/>
      <w:numFmt w:val="bullet"/>
      <w:lvlText w:val=""/>
      <w:lvlJc w:val="left"/>
      <w:pPr>
        <w:ind w:left="1741" w:hanging="360"/>
      </w:pPr>
      <w:rPr>
        <w:rFonts w:ascii="Symbol" w:hAnsi="Symbol" w:hint="default"/>
      </w:rPr>
    </w:lvl>
    <w:lvl w:ilvl="1" w:tplc="08090003" w:tentative="1">
      <w:start w:val="1"/>
      <w:numFmt w:val="bullet"/>
      <w:lvlText w:val="o"/>
      <w:lvlJc w:val="left"/>
      <w:pPr>
        <w:ind w:left="2461" w:hanging="360"/>
      </w:pPr>
      <w:rPr>
        <w:rFonts w:ascii="Courier New" w:hAnsi="Courier New" w:cs="Courier New" w:hint="default"/>
      </w:rPr>
    </w:lvl>
    <w:lvl w:ilvl="2" w:tplc="08090005" w:tentative="1">
      <w:start w:val="1"/>
      <w:numFmt w:val="bullet"/>
      <w:lvlText w:val=""/>
      <w:lvlJc w:val="left"/>
      <w:pPr>
        <w:ind w:left="3181" w:hanging="360"/>
      </w:pPr>
      <w:rPr>
        <w:rFonts w:ascii="Wingdings" w:hAnsi="Wingdings" w:hint="default"/>
      </w:rPr>
    </w:lvl>
    <w:lvl w:ilvl="3" w:tplc="08090001" w:tentative="1">
      <w:start w:val="1"/>
      <w:numFmt w:val="bullet"/>
      <w:lvlText w:val=""/>
      <w:lvlJc w:val="left"/>
      <w:pPr>
        <w:ind w:left="3901" w:hanging="360"/>
      </w:pPr>
      <w:rPr>
        <w:rFonts w:ascii="Symbol" w:hAnsi="Symbol" w:hint="default"/>
      </w:rPr>
    </w:lvl>
    <w:lvl w:ilvl="4" w:tplc="08090003" w:tentative="1">
      <w:start w:val="1"/>
      <w:numFmt w:val="bullet"/>
      <w:lvlText w:val="o"/>
      <w:lvlJc w:val="left"/>
      <w:pPr>
        <w:ind w:left="4621" w:hanging="360"/>
      </w:pPr>
      <w:rPr>
        <w:rFonts w:ascii="Courier New" w:hAnsi="Courier New" w:cs="Courier New" w:hint="default"/>
      </w:rPr>
    </w:lvl>
    <w:lvl w:ilvl="5" w:tplc="08090005" w:tentative="1">
      <w:start w:val="1"/>
      <w:numFmt w:val="bullet"/>
      <w:lvlText w:val=""/>
      <w:lvlJc w:val="left"/>
      <w:pPr>
        <w:ind w:left="5341" w:hanging="360"/>
      </w:pPr>
      <w:rPr>
        <w:rFonts w:ascii="Wingdings" w:hAnsi="Wingdings" w:hint="default"/>
      </w:rPr>
    </w:lvl>
    <w:lvl w:ilvl="6" w:tplc="08090001" w:tentative="1">
      <w:start w:val="1"/>
      <w:numFmt w:val="bullet"/>
      <w:lvlText w:val=""/>
      <w:lvlJc w:val="left"/>
      <w:pPr>
        <w:ind w:left="6061" w:hanging="360"/>
      </w:pPr>
      <w:rPr>
        <w:rFonts w:ascii="Symbol" w:hAnsi="Symbol" w:hint="default"/>
      </w:rPr>
    </w:lvl>
    <w:lvl w:ilvl="7" w:tplc="08090003" w:tentative="1">
      <w:start w:val="1"/>
      <w:numFmt w:val="bullet"/>
      <w:lvlText w:val="o"/>
      <w:lvlJc w:val="left"/>
      <w:pPr>
        <w:ind w:left="6781" w:hanging="360"/>
      </w:pPr>
      <w:rPr>
        <w:rFonts w:ascii="Courier New" w:hAnsi="Courier New" w:cs="Courier New" w:hint="default"/>
      </w:rPr>
    </w:lvl>
    <w:lvl w:ilvl="8" w:tplc="08090005" w:tentative="1">
      <w:start w:val="1"/>
      <w:numFmt w:val="bullet"/>
      <w:lvlText w:val=""/>
      <w:lvlJc w:val="left"/>
      <w:pPr>
        <w:ind w:left="7501" w:hanging="360"/>
      </w:pPr>
      <w:rPr>
        <w:rFonts w:ascii="Wingdings" w:hAnsi="Wingdings" w:hint="default"/>
      </w:rPr>
    </w:lvl>
  </w:abstractNum>
  <w:num w:numId="1" w16cid:durableId="1900479300">
    <w:abstractNumId w:val="2"/>
  </w:num>
  <w:num w:numId="2" w16cid:durableId="1653870575">
    <w:abstractNumId w:val="1"/>
  </w:num>
  <w:num w:numId="3" w16cid:durableId="1984919546">
    <w:abstractNumId w:val="1"/>
  </w:num>
  <w:num w:numId="4" w16cid:durableId="14630330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DF04" w:allStyles="0" w:customStyles="0" w:latentStyles="1" w:stylesInUse="0" w:headingStyles="0" w:numberingStyles="0" w:tableStyles="0" w:directFormattingOnRuns="1" w:directFormattingOnParagraphs="1" w:directFormattingOnNumbering="1" w:directFormattingOnTables="1" w:clearFormatting="1" w:top3HeadingStyles="0" w:visibleStyles="1" w:alternateStyleNames="1"/>
  <w:stylePaneSortMethod w:val="0000"/>
  <w:trackRevisions/>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286C"/>
    <w:rsid w:val="000074E6"/>
    <w:rsid w:val="00007825"/>
    <w:rsid w:val="000200E3"/>
    <w:rsid w:val="0002719A"/>
    <w:rsid w:val="00036A5B"/>
    <w:rsid w:val="000373C1"/>
    <w:rsid w:val="000419D4"/>
    <w:rsid w:val="00044441"/>
    <w:rsid w:val="00045A3B"/>
    <w:rsid w:val="00070BAA"/>
    <w:rsid w:val="00083FD4"/>
    <w:rsid w:val="00096FB4"/>
    <w:rsid w:val="000B1972"/>
    <w:rsid w:val="000C1D74"/>
    <w:rsid w:val="000C2D55"/>
    <w:rsid w:val="000C2F1C"/>
    <w:rsid w:val="000C3C7B"/>
    <w:rsid w:val="000D74F7"/>
    <w:rsid w:val="000E111E"/>
    <w:rsid w:val="000E6184"/>
    <w:rsid w:val="000E6B9C"/>
    <w:rsid w:val="000F0E23"/>
    <w:rsid w:val="000F5C2B"/>
    <w:rsid w:val="001109BE"/>
    <w:rsid w:val="001155D0"/>
    <w:rsid w:val="00137935"/>
    <w:rsid w:val="001400F2"/>
    <w:rsid w:val="00142B3A"/>
    <w:rsid w:val="001517EB"/>
    <w:rsid w:val="00156935"/>
    <w:rsid w:val="00175728"/>
    <w:rsid w:val="00180722"/>
    <w:rsid w:val="0019318F"/>
    <w:rsid w:val="00194CD9"/>
    <w:rsid w:val="00196902"/>
    <w:rsid w:val="001A1DB5"/>
    <w:rsid w:val="001A60DD"/>
    <w:rsid w:val="001C10B7"/>
    <w:rsid w:val="001C16F5"/>
    <w:rsid w:val="001E6D1C"/>
    <w:rsid w:val="002202C5"/>
    <w:rsid w:val="00230132"/>
    <w:rsid w:val="0024193C"/>
    <w:rsid w:val="0024492E"/>
    <w:rsid w:val="002455B3"/>
    <w:rsid w:val="002461FD"/>
    <w:rsid w:val="00274FDE"/>
    <w:rsid w:val="00283B54"/>
    <w:rsid w:val="002A0C15"/>
    <w:rsid w:val="002A6988"/>
    <w:rsid w:val="002B273D"/>
    <w:rsid w:val="002B6FF5"/>
    <w:rsid w:val="002B7871"/>
    <w:rsid w:val="002C215C"/>
    <w:rsid w:val="002C7CEF"/>
    <w:rsid w:val="002D275D"/>
    <w:rsid w:val="002D74F5"/>
    <w:rsid w:val="002F0681"/>
    <w:rsid w:val="002F4B2D"/>
    <w:rsid w:val="00304C55"/>
    <w:rsid w:val="0030797F"/>
    <w:rsid w:val="0031644F"/>
    <w:rsid w:val="00320611"/>
    <w:rsid w:val="003236DD"/>
    <w:rsid w:val="00327D08"/>
    <w:rsid w:val="00332FC3"/>
    <w:rsid w:val="0034286C"/>
    <w:rsid w:val="0037149F"/>
    <w:rsid w:val="003A1442"/>
    <w:rsid w:val="003C3BC3"/>
    <w:rsid w:val="003E0E5A"/>
    <w:rsid w:val="003F7394"/>
    <w:rsid w:val="00414B3B"/>
    <w:rsid w:val="004161CB"/>
    <w:rsid w:val="00426FAF"/>
    <w:rsid w:val="0043201B"/>
    <w:rsid w:val="00434485"/>
    <w:rsid w:val="00453600"/>
    <w:rsid w:val="00463B11"/>
    <w:rsid w:val="00477E82"/>
    <w:rsid w:val="004857BB"/>
    <w:rsid w:val="004879EB"/>
    <w:rsid w:val="0049541C"/>
    <w:rsid w:val="00497F68"/>
    <w:rsid w:val="004B19CF"/>
    <w:rsid w:val="004B26FB"/>
    <w:rsid w:val="004C71AD"/>
    <w:rsid w:val="004D06FB"/>
    <w:rsid w:val="004D7BCB"/>
    <w:rsid w:val="004E424C"/>
    <w:rsid w:val="004E5839"/>
    <w:rsid w:val="004F5F4D"/>
    <w:rsid w:val="00503078"/>
    <w:rsid w:val="005072B6"/>
    <w:rsid w:val="00511484"/>
    <w:rsid w:val="0051443F"/>
    <w:rsid w:val="0051799E"/>
    <w:rsid w:val="00524270"/>
    <w:rsid w:val="00563350"/>
    <w:rsid w:val="00566896"/>
    <w:rsid w:val="00581168"/>
    <w:rsid w:val="00585C49"/>
    <w:rsid w:val="005879DB"/>
    <w:rsid w:val="00592898"/>
    <w:rsid w:val="00592B78"/>
    <w:rsid w:val="005939F5"/>
    <w:rsid w:val="00594730"/>
    <w:rsid w:val="005971FB"/>
    <w:rsid w:val="005A462F"/>
    <w:rsid w:val="005C6935"/>
    <w:rsid w:val="005D10A6"/>
    <w:rsid w:val="005E66B0"/>
    <w:rsid w:val="005F07DC"/>
    <w:rsid w:val="006010AF"/>
    <w:rsid w:val="00630C7F"/>
    <w:rsid w:val="00660C0C"/>
    <w:rsid w:val="00680576"/>
    <w:rsid w:val="00685E57"/>
    <w:rsid w:val="00686CD6"/>
    <w:rsid w:val="006A565A"/>
    <w:rsid w:val="006B23B3"/>
    <w:rsid w:val="006B767D"/>
    <w:rsid w:val="006C4687"/>
    <w:rsid w:val="006C760F"/>
    <w:rsid w:val="006E1400"/>
    <w:rsid w:val="006E7818"/>
    <w:rsid w:val="006F0496"/>
    <w:rsid w:val="007003D9"/>
    <w:rsid w:val="007022E9"/>
    <w:rsid w:val="007128DB"/>
    <w:rsid w:val="00716D0B"/>
    <w:rsid w:val="007251AD"/>
    <w:rsid w:val="007305EA"/>
    <w:rsid w:val="00740D36"/>
    <w:rsid w:val="00743A14"/>
    <w:rsid w:val="0074534B"/>
    <w:rsid w:val="00765B2A"/>
    <w:rsid w:val="00773869"/>
    <w:rsid w:val="007A2E26"/>
    <w:rsid w:val="007A3DD9"/>
    <w:rsid w:val="007A4629"/>
    <w:rsid w:val="007A4A1A"/>
    <w:rsid w:val="007C00A1"/>
    <w:rsid w:val="007C14CF"/>
    <w:rsid w:val="007D01A7"/>
    <w:rsid w:val="007E2CE4"/>
    <w:rsid w:val="007E3680"/>
    <w:rsid w:val="007E68DC"/>
    <w:rsid w:val="007F3F76"/>
    <w:rsid w:val="00810734"/>
    <w:rsid w:val="008109B4"/>
    <w:rsid w:val="008114AF"/>
    <w:rsid w:val="0081556A"/>
    <w:rsid w:val="00821F83"/>
    <w:rsid w:val="00827A62"/>
    <w:rsid w:val="00851B1B"/>
    <w:rsid w:val="00853D8C"/>
    <w:rsid w:val="0085528A"/>
    <w:rsid w:val="008553C1"/>
    <w:rsid w:val="00860091"/>
    <w:rsid w:val="00860641"/>
    <w:rsid w:val="008640C9"/>
    <w:rsid w:val="00870C72"/>
    <w:rsid w:val="008875C3"/>
    <w:rsid w:val="00887D61"/>
    <w:rsid w:val="0089346F"/>
    <w:rsid w:val="00897966"/>
    <w:rsid w:val="008A1EA1"/>
    <w:rsid w:val="008A2466"/>
    <w:rsid w:val="008C103C"/>
    <w:rsid w:val="008C1C4E"/>
    <w:rsid w:val="008C6063"/>
    <w:rsid w:val="008C7A30"/>
    <w:rsid w:val="008D1A1F"/>
    <w:rsid w:val="008E3D27"/>
    <w:rsid w:val="00932B6A"/>
    <w:rsid w:val="00932F63"/>
    <w:rsid w:val="00946AA2"/>
    <w:rsid w:val="0096535D"/>
    <w:rsid w:val="0097393A"/>
    <w:rsid w:val="00982189"/>
    <w:rsid w:val="00985475"/>
    <w:rsid w:val="009B16E6"/>
    <w:rsid w:val="009B4717"/>
    <w:rsid w:val="009B4723"/>
    <w:rsid w:val="009D0A21"/>
    <w:rsid w:val="009E62A2"/>
    <w:rsid w:val="009F3681"/>
    <w:rsid w:val="009F69DD"/>
    <w:rsid w:val="00A05737"/>
    <w:rsid w:val="00A24956"/>
    <w:rsid w:val="00A27974"/>
    <w:rsid w:val="00A42E83"/>
    <w:rsid w:val="00A44F6D"/>
    <w:rsid w:val="00A47C6B"/>
    <w:rsid w:val="00A67BBC"/>
    <w:rsid w:val="00A718D0"/>
    <w:rsid w:val="00A76C73"/>
    <w:rsid w:val="00A81742"/>
    <w:rsid w:val="00A820DD"/>
    <w:rsid w:val="00A90DBF"/>
    <w:rsid w:val="00A946D4"/>
    <w:rsid w:val="00AA785C"/>
    <w:rsid w:val="00AB7E29"/>
    <w:rsid w:val="00AC56EC"/>
    <w:rsid w:val="00AC7105"/>
    <w:rsid w:val="00AC7C43"/>
    <w:rsid w:val="00AF1D62"/>
    <w:rsid w:val="00AF444D"/>
    <w:rsid w:val="00B04403"/>
    <w:rsid w:val="00B12ADA"/>
    <w:rsid w:val="00B1634E"/>
    <w:rsid w:val="00B27BBB"/>
    <w:rsid w:val="00B31878"/>
    <w:rsid w:val="00B36376"/>
    <w:rsid w:val="00B47102"/>
    <w:rsid w:val="00B55C7D"/>
    <w:rsid w:val="00B604AC"/>
    <w:rsid w:val="00B7055A"/>
    <w:rsid w:val="00B86ED7"/>
    <w:rsid w:val="00BA0952"/>
    <w:rsid w:val="00BA3CBC"/>
    <w:rsid w:val="00BB6F4F"/>
    <w:rsid w:val="00BC01E6"/>
    <w:rsid w:val="00BD1313"/>
    <w:rsid w:val="00BD281C"/>
    <w:rsid w:val="00BE1639"/>
    <w:rsid w:val="00BF2991"/>
    <w:rsid w:val="00BF5976"/>
    <w:rsid w:val="00C20FF1"/>
    <w:rsid w:val="00C601B7"/>
    <w:rsid w:val="00C61869"/>
    <w:rsid w:val="00C7096B"/>
    <w:rsid w:val="00C71664"/>
    <w:rsid w:val="00C71E91"/>
    <w:rsid w:val="00C86133"/>
    <w:rsid w:val="00CC6F0E"/>
    <w:rsid w:val="00CD2F3B"/>
    <w:rsid w:val="00CE7654"/>
    <w:rsid w:val="00D04DE6"/>
    <w:rsid w:val="00D07285"/>
    <w:rsid w:val="00D076B3"/>
    <w:rsid w:val="00D11FFE"/>
    <w:rsid w:val="00D12F38"/>
    <w:rsid w:val="00D14A03"/>
    <w:rsid w:val="00D3118E"/>
    <w:rsid w:val="00D35B7F"/>
    <w:rsid w:val="00D469F4"/>
    <w:rsid w:val="00D5427B"/>
    <w:rsid w:val="00D55C48"/>
    <w:rsid w:val="00D562FE"/>
    <w:rsid w:val="00D56A62"/>
    <w:rsid w:val="00D66498"/>
    <w:rsid w:val="00D72469"/>
    <w:rsid w:val="00D744DF"/>
    <w:rsid w:val="00D76DFB"/>
    <w:rsid w:val="00D804E0"/>
    <w:rsid w:val="00D81297"/>
    <w:rsid w:val="00DA6907"/>
    <w:rsid w:val="00DC2140"/>
    <w:rsid w:val="00DC48C8"/>
    <w:rsid w:val="00DC7869"/>
    <w:rsid w:val="00DD5BA5"/>
    <w:rsid w:val="00DE1478"/>
    <w:rsid w:val="00E16A7C"/>
    <w:rsid w:val="00E27BAA"/>
    <w:rsid w:val="00E3092C"/>
    <w:rsid w:val="00E32097"/>
    <w:rsid w:val="00E3290C"/>
    <w:rsid w:val="00E354D1"/>
    <w:rsid w:val="00E518A9"/>
    <w:rsid w:val="00E52BC8"/>
    <w:rsid w:val="00E54338"/>
    <w:rsid w:val="00E549EE"/>
    <w:rsid w:val="00E56C66"/>
    <w:rsid w:val="00E63962"/>
    <w:rsid w:val="00E763A9"/>
    <w:rsid w:val="00E859F9"/>
    <w:rsid w:val="00E97FB8"/>
    <w:rsid w:val="00EA4043"/>
    <w:rsid w:val="00EA44BB"/>
    <w:rsid w:val="00EA48EC"/>
    <w:rsid w:val="00EB6C5C"/>
    <w:rsid w:val="00EB75EE"/>
    <w:rsid w:val="00ED21A4"/>
    <w:rsid w:val="00ED4FB4"/>
    <w:rsid w:val="00EF6A49"/>
    <w:rsid w:val="00F16ADD"/>
    <w:rsid w:val="00F16BA3"/>
    <w:rsid w:val="00F21363"/>
    <w:rsid w:val="00F36305"/>
    <w:rsid w:val="00F4586B"/>
    <w:rsid w:val="00F658E7"/>
    <w:rsid w:val="00F70CA1"/>
    <w:rsid w:val="00F715C8"/>
    <w:rsid w:val="00F72E43"/>
    <w:rsid w:val="00F77599"/>
    <w:rsid w:val="00F80152"/>
    <w:rsid w:val="00F93955"/>
    <w:rsid w:val="00F96F11"/>
    <w:rsid w:val="00F97681"/>
    <w:rsid w:val="00FA103C"/>
    <w:rsid w:val="00FB687C"/>
    <w:rsid w:val="00FC0412"/>
    <w:rsid w:val="00FC4145"/>
    <w:rsid w:val="00FC7F7C"/>
    <w:rsid w:val="00FF218B"/>
    <w:rsid w:val="00FF57EC"/>
    <w:rsid w:val="03029F72"/>
    <w:rsid w:val="06382A35"/>
    <w:rsid w:val="0D558AB4"/>
    <w:rsid w:val="178BBE9A"/>
    <w:rsid w:val="1B759C03"/>
    <w:rsid w:val="2962E018"/>
    <w:rsid w:val="3429D4FE"/>
    <w:rsid w:val="3685E6A1"/>
    <w:rsid w:val="3825F036"/>
    <w:rsid w:val="3BEF5015"/>
    <w:rsid w:val="592A01EB"/>
    <w:rsid w:val="5CF365ED"/>
  </w:rsids>
  <m:mathPr>
    <m:mathFont m:val="Cambria Math"/>
    <m:brkBin m:val="before"/>
    <m:brkBinSub m:val="--"/>
    <m:smallFrac m:val="0"/>
    <m:dispDef/>
    <m:lMargin m:val="0"/>
    <m:rMargin m:val="0"/>
    <m:defJc m:val="centerGroup"/>
    <m:wrapIndent m:val="1440"/>
    <m:intLim m:val="subSup"/>
    <m:naryLim m:val="undOvr"/>
  </m:mathPr>
  <w:themeFontLang w:val="de-DE"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209507"/>
  <w15:chartTrackingRefBased/>
  <w15:docId w15:val="{ACFF4F69-79E3-4C8B-BF26-ACA357BD2B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18"/>
        <w:szCs w:val="18"/>
        <w:lang w:val="de-DE" w:eastAsia="en-US" w:bidi="ar-SA"/>
      </w:rPr>
    </w:rPrDefault>
    <w:pPrDefault>
      <w:pPr>
        <w:spacing w:line="220" w:lineRule="atLeast"/>
      </w:pPr>
    </w:pPrDefault>
  </w:docDefaults>
  <w:latentStyles w:defLockedState="0" w:defUIPriority="99" w:defSemiHidden="0" w:defUnhideWhenUsed="0" w:defQFormat="0" w:count="376">
    <w:lsdException w:name="Normal" w:uiPriority="0" w:qFormat="1"/>
    <w:lsdException w:name="heading 1" w:uiPriority="9"/>
    <w:lsdException w:name="heading 2" w:uiPriority="9" w:qFormat="1"/>
    <w:lsdException w:name="heading 3" w:semiHidden="1" w:uiPriority="9"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lsdException w:name="annotation text" w:semiHidden="1"/>
    <w:lsdException w:name="header" w:semiHidden="1" w:unhideWhenUsed="1"/>
    <w:lsdException w:name="footer" w:semiHidden="1" w:unhideWhenUsed="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uiPriority="0"/>
    <w:lsdException w:name="FollowedHyperlink" w:semiHidden="1"/>
    <w:lsdException w:name="Strong" w:semiHidden="1" w:uiPriority="22" w:qFormat="1"/>
    <w:lsdException w:name="Emphasis" w:semiHidden="1"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lsdException w:name="TOC Heading" w:semiHidden="1"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lsdException w:name="Smart Hyperlink" w:semiHidden="1"/>
    <w:lsdException w:name="Hashtag" w:semiHidden="1"/>
    <w:lsdException w:name="Unresolved Mention" w:semiHidden="1"/>
    <w:lsdException w:name="Smart Link" w:semiHidden="1"/>
  </w:latentStyles>
  <w:style w:type="paragraph" w:default="1" w:styleId="Normal">
    <w:name w:val="Normal"/>
    <w:aliases w:val="AZ-P Text"/>
    <w:qFormat/>
    <w:rsid w:val="00982189"/>
    <w:pPr>
      <w:spacing w:line="260" w:lineRule="atLeast"/>
    </w:pPr>
    <w:rPr>
      <w:noProof/>
      <w:sz w:val="20"/>
      <w:lang w:val="es-ES"/>
    </w:rPr>
  </w:style>
  <w:style w:type="paragraph" w:styleId="Ttulo1">
    <w:name w:val="heading 1"/>
    <w:aliases w:val="AZ-P Headline Level 1"/>
    <w:basedOn w:val="Normal"/>
    <w:next w:val="Normal"/>
    <w:link w:val="Ttulo1Car"/>
    <w:uiPriority w:val="9"/>
    <w:rsid w:val="00BA3CBC"/>
    <w:pPr>
      <w:keepNext/>
      <w:keepLines/>
      <w:spacing w:after="1130" w:line="800" w:lineRule="exact"/>
      <w:ind w:left="-29" w:hanging="1814"/>
      <w:outlineLvl w:val="0"/>
    </w:pPr>
    <w:rPr>
      <w:rFonts w:asciiTheme="majorHAnsi" w:eastAsiaTheme="majorEastAsia" w:hAnsiTheme="majorHAnsi" w:cstheme="majorBidi"/>
      <w:color w:val="CFCFCF" w:themeColor="text2"/>
      <w:sz w:val="86"/>
      <w:szCs w:val="32"/>
    </w:rPr>
  </w:style>
  <w:style w:type="paragraph" w:styleId="Ttulo2">
    <w:name w:val="heading 2"/>
    <w:aliases w:val="AZ-P Headline Level 2"/>
    <w:basedOn w:val="Ttulo1"/>
    <w:next w:val="Normal"/>
    <w:link w:val="Ttulo2Car"/>
    <w:uiPriority w:val="9"/>
    <w:qFormat/>
    <w:rsid w:val="003236DD"/>
    <w:pPr>
      <w:keepNext w:val="0"/>
      <w:spacing w:before="240" w:after="0" w:line="300" w:lineRule="exact"/>
      <w:ind w:left="0" w:firstLine="0"/>
      <w:outlineLvl w:val="1"/>
    </w:pPr>
    <w:rPr>
      <w:b/>
      <w:color w:val="003781" w:themeColor="background1"/>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semiHidden/>
    <w:rsid w:val="00AA785C"/>
    <w:pPr>
      <w:numPr>
        <w:numId w:val="3"/>
      </w:numPr>
      <w:spacing w:after="280" w:line="280" w:lineRule="atLeast"/>
      <w:contextualSpacing/>
    </w:pPr>
    <w:rPr>
      <w:color w:val="CFCFCF" w:themeColor="text2"/>
    </w:rPr>
  </w:style>
  <w:style w:type="character" w:customStyle="1" w:styleId="Ttulo1Car">
    <w:name w:val="Título 1 Car"/>
    <w:aliases w:val="AZ-P Headline Level 1 Car"/>
    <w:basedOn w:val="Fuentedeprrafopredeter"/>
    <w:link w:val="Ttulo1"/>
    <w:uiPriority w:val="9"/>
    <w:rsid w:val="00BA3CBC"/>
    <w:rPr>
      <w:rFonts w:asciiTheme="majorHAnsi" w:eastAsiaTheme="majorEastAsia" w:hAnsiTheme="majorHAnsi" w:cstheme="majorBidi"/>
      <w:color w:val="CFCFCF" w:themeColor="text2"/>
      <w:sz w:val="86"/>
      <w:szCs w:val="32"/>
      <w:lang w:val="en-GB"/>
    </w:rPr>
  </w:style>
  <w:style w:type="character" w:customStyle="1" w:styleId="AZ-TBrandColorBlue3">
    <w:name w:val="AZ-T Brand Color Blue 3"/>
    <w:uiPriority w:val="1"/>
    <w:qFormat/>
    <w:rsid w:val="006C760F"/>
    <w:rPr>
      <w:color w:val="13A0D3" w:themeColor="accent4"/>
    </w:rPr>
  </w:style>
  <w:style w:type="character" w:customStyle="1" w:styleId="Ttulo2Car">
    <w:name w:val="Título 2 Car"/>
    <w:aliases w:val="AZ-P Headline Level 2 Car"/>
    <w:basedOn w:val="Fuentedeprrafopredeter"/>
    <w:link w:val="Ttulo2"/>
    <w:uiPriority w:val="9"/>
    <w:rsid w:val="003236DD"/>
    <w:rPr>
      <w:rFonts w:asciiTheme="majorHAnsi" w:eastAsiaTheme="majorEastAsia" w:hAnsiTheme="majorHAnsi" w:cstheme="majorBidi"/>
      <w:b/>
      <w:color w:val="003781" w:themeColor="background1"/>
      <w:sz w:val="20"/>
      <w:szCs w:val="32"/>
      <w:lang w:val="en-US"/>
    </w:rPr>
  </w:style>
  <w:style w:type="paragraph" w:customStyle="1" w:styleId="AZ-PSender">
    <w:name w:val="AZ-P Sender"/>
    <w:basedOn w:val="Normal"/>
    <w:link w:val="AZ-PSenderZchn"/>
    <w:qFormat/>
    <w:rsid w:val="00F77599"/>
  </w:style>
  <w:style w:type="paragraph" w:styleId="Encabezado">
    <w:name w:val="header"/>
    <w:basedOn w:val="Normal"/>
    <w:link w:val="EncabezadoCar"/>
    <w:uiPriority w:val="99"/>
    <w:semiHidden/>
    <w:rsid w:val="00F77599"/>
    <w:pPr>
      <w:tabs>
        <w:tab w:val="center" w:pos="4536"/>
        <w:tab w:val="right" w:pos="9072"/>
      </w:tabs>
      <w:spacing w:line="240" w:lineRule="auto"/>
    </w:pPr>
  </w:style>
  <w:style w:type="character" w:customStyle="1" w:styleId="EncabezadoCar">
    <w:name w:val="Encabezado Car"/>
    <w:basedOn w:val="Fuentedeprrafopredeter"/>
    <w:link w:val="Encabezado"/>
    <w:uiPriority w:val="99"/>
    <w:semiHidden/>
    <w:rsid w:val="005A462F"/>
    <w:rPr>
      <w:sz w:val="30"/>
      <w:lang w:val="en-GB"/>
    </w:rPr>
  </w:style>
  <w:style w:type="paragraph" w:styleId="Piedepgina">
    <w:name w:val="footer"/>
    <w:aliases w:val="AT-P Footer"/>
    <w:basedOn w:val="Normal"/>
    <w:link w:val="PiedepginaCar"/>
    <w:uiPriority w:val="99"/>
    <w:rsid w:val="003236DD"/>
    <w:pPr>
      <w:tabs>
        <w:tab w:val="center" w:pos="4536"/>
        <w:tab w:val="right" w:pos="9072"/>
      </w:tabs>
      <w:spacing w:line="180" w:lineRule="exact"/>
    </w:pPr>
    <w:rPr>
      <w:color w:val="003781" w:themeColor="background1"/>
      <w:sz w:val="14"/>
    </w:rPr>
  </w:style>
  <w:style w:type="character" w:customStyle="1" w:styleId="PiedepginaCar">
    <w:name w:val="Pie de página Car"/>
    <w:aliases w:val="AT-P Footer Car"/>
    <w:basedOn w:val="Fuentedeprrafopredeter"/>
    <w:link w:val="Piedepgina"/>
    <w:uiPriority w:val="99"/>
    <w:rsid w:val="003236DD"/>
    <w:rPr>
      <w:color w:val="003781" w:themeColor="background1"/>
      <w:sz w:val="14"/>
      <w:lang w:val="en-US"/>
    </w:rPr>
  </w:style>
  <w:style w:type="paragraph" w:customStyle="1" w:styleId="AZ-PCompany">
    <w:name w:val="AZ-P Company"/>
    <w:basedOn w:val="Normal"/>
    <w:qFormat/>
    <w:rsid w:val="003C3BC3"/>
    <w:pPr>
      <w:spacing w:before="60" w:after="360"/>
      <w:ind w:left="-1843"/>
    </w:pPr>
    <w:rPr>
      <w:rFonts w:ascii="Allianz Neo SemiBold" w:hAnsi="Allianz Neo SemiBold"/>
      <w:caps/>
      <w:color w:val="003781" w:themeColor="background1"/>
      <w:spacing w:val="16"/>
    </w:rPr>
  </w:style>
  <w:style w:type="character" w:styleId="Textodelmarcadordeposicin">
    <w:name w:val="Placeholder Text"/>
    <w:basedOn w:val="Fuentedeprrafopredeter"/>
    <w:uiPriority w:val="99"/>
    <w:semiHidden/>
    <w:rsid w:val="00C71E91"/>
    <w:rPr>
      <w:color w:val="808080"/>
    </w:rPr>
  </w:style>
  <w:style w:type="paragraph" w:customStyle="1" w:styleId="AZ-PDate">
    <w:name w:val="AZ-P Date"/>
    <w:basedOn w:val="AZ-PSender"/>
    <w:link w:val="AZ-PDateZchn"/>
    <w:qFormat/>
    <w:rsid w:val="003236DD"/>
    <w:pPr>
      <w:framePr w:w="1814" w:wrap="around" w:vAnchor="text" w:hAnchor="page" w:y="1"/>
      <w:spacing w:before="20"/>
      <w:contextualSpacing/>
    </w:pPr>
    <w:rPr>
      <w:color w:val="003781" w:themeColor="background1"/>
    </w:rPr>
  </w:style>
  <w:style w:type="paragraph" w:styleId="Subttulo">
    <w:name w:val="Subtitle"/>
    <w:aliases w:val="AZ-P Subtitle"/>
    <w:basedOn w:val="Normal"/>
    <w:next w:val="Normal"/>
    <w:link w:val="SubttuloCar"/>
    <w:uiPriority w:val="11"/>
    <w:qFormat/>
    <w:rsid w:val="003236DD"/>
    <w:pPr>
      <w:numPr>
        <w:ilvl w:val="1"/>
      </w:numPr>
      <w:spacing w:after="240" w:line="360" w:lineRule="exact"/>
    </w:pPr>
    <w:rPr>
      <w:rFonts w:eastAsiaTheme="minorEastAsia"/>
      <w:b/>
      <w:color w:val="003781" w:themeColor="background1"/>
      <w:sz w:val="30"/>
      <w:szCs w:val="22"/>
    </w:rPr>
  </w:style>
  <w:style w:type="character" w:customStyle="1" w:styleId="SubttuloCar">
    <w:name w:val="Subtítulo Car"/>
    <w:aliases w:val="AZ-P Subtitle Car"/>
    <w:basedOn w:val="Fuentedeprrafopredeter"/>
    <w:link w:val="Subttulo"/>
    <w:uiPriority w:val="11"/>
    <w:rsid w:val="003236DD"/>
    <w:rPr>
      <w:rFonts w:eastAsiaTheme="minorEastAsia"/>
      <w:b/>
      <w:color w:val="003781" w:themeColor="background1"/>
      <w:sz w:val="30"/>
      <w:szCs w:val="22"/>
      <w:lang w:val="en-US"/>
    </w:rPr>
  </w:style>
  <w:style w:type="paragraph" w:customStyle="1" w:styleId="AZ-PList">
    <w:name w:val="AZ-P List"/>
    <w:basedOn w:val="Normal"/>
    <w:qFormat/>
    <w:rsid w:val="00E354D1"/>
    <w:pPr>
      <w:numPr>
        <w:numId w:val="4"/>
      </w:numPr>
      <w:spacing w:line="312" w:lineRule="atLeast"/>
      <w:ind w:left="170" w:hanging="170"/>
    </w:pPr>
    <w:rPr>
      <w:b/>
      <w:color w:val="003781" w:themeColor="background1"/>
      <w:sz w:val="24"/>
    </w:rPr>
  </w:style>
  <w:style w:type="table" w:styleId="Tablaconcuadrcula">
    <w:name w:val="Table Grid"/>
    <w:basedOn w:val="Tablanormal"/>
    <w:uiPriority w:val="39"/>
    <w:rsid w:val="007251AD"/>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Z-PSmall">
    <w:name w:val="AZ-P Small"/>
    <w:basedOn w:val="Normal"/>
    <w:qFormat/>
    <w:rsid w:val="00070BAA"/>
    <w:pPr>
      <w:spacing w:line="168" w:lineRule="exact"/>
    </w:pPr>
    <w:rPr>
      <w:color w:val="414141" w:themeColor="background2"/>
      <w:spacing w:val="1"/>
      <w:sz w:val="14"/>
    </w:rPr>
  </w:style>
  <w:style w:type="table" w:customStyle="1" w:styleId="AZPressContact">
    <w:name w:val="AZ PressContact"/>
    <w:basedOn w:val="Tablanormal"/>
    <w:uiPriority w:val="99"/>
    <w:rsid w:val="0037149F"/>
    <w:pPr>
      <w:spacing w:line="260" w:lineRule="exact"/>
    </w:pPr>
    <w:rPr>
      <w:color w:val="CFCFCF" w:themeColor="text2"/>
      <w:sz w:val="20"/>
    </w:rPr>
    <w:tblPr>
      <w:tblBorders>
        <w:top w:val="single" w:sz="4" w:space="0" w:color="CFCFCF" w:themeColor="text2"/>
        <w:bottom w:val="single" w:sz="4" w:space="0" w:color="CFCFCF" w:themeColor="text2"/>
      </w:tblBorders>
      <w:tblCellMar>
        <w:top w:w="312" w:type="dxa"/>
        <w:left w:w="0" w:type="dxa"/>
        <w:bottom w:w="312" w:type="dxa"/>
        <w:right w:w="0" w:type="dxa"/>
      </w:tblCellMar>
    </w:tblPr>
  </w:style>
  <w:style w:type="paragraph" w:customStyle="1" w:styleId="AZ-PHeadlineLevel2Small">
    <w:name w:val="AZ-P Headline Level 2 Small"/>
    <w:basedOn w:val="Ttulo2"/>
    <w:qFormat/>
    <w:rsid w:val="001155D0"/>
    <w:pPr>
      <w:keepNext/>
      <w:pBdr>
        <w:top w:val="single" w:sz="4" w:space="12" w:color="003781" w:themeColor="background1"/>
      </w:pBdr>
      <w:spacing w:before="0"/>
    </w:pPr>
    <w:rPr>
      <w:sz w:val="14"/>
      <w:szCs w:val="14"/>
    </w:rPr>
  </w:style>
  <w:style w:type="paragraph" w:customStyle="1" w:styleId="StyleHeading1">
    <w:name w:val="Style Heading 1"/>
    <w:aliases w:val="AZ-P Headline Level 1 + Line spacing:  Exactly 48 pt"/>
    <w:basedOn w:val="Ttulo1"/>
    <w:rsid w:val="007A4A1A"/>
    <w:pPr>
      <w:spacing w:after="720" w:line="660" w:lineRule="exact"/>
    </w:pPr>
    <w:rPr>
      <w:rFonts w:eastAsia="Times New Roman" w:cs="Times New Roman"/>
      <w:color w:val="003781" w:themeColor="background1"/>
      <w:sz w:val="60"/>
      <w:szCs w:val="20"/>
    </w:rPr>
  </w:style>
  <w:style w:type="character" w:customStyle="1" w:styleId="StyleText2">
    <w:name w:val="Style Text 2"/>
    <w:basedOn w:val="Fuentedeprrafopredeter"/>
    <w:rsid w:val="003236DD"/>
    <w:rPr>
      <w:color w:val="003781" w:themeColor="background1"/>
      <w:lang w:val="en-US"/>
    </w:rPr>
  </w:style>
  <w:style w:type="character" w:customStyle="1" w:styleId="StyleBoldText2">
    <w:name w:val="Style Bold Text 2"/>
    <w:basedOn w:val="Fuentedeprrafopredeter"/>
    <w:rsid w:val="003236DD"/>
    <w:rPr>
      <w:b/>
      <w:bCs/>
      <w:color w:val="003781" w:themeColor="background1"/>
      <w:lang w:val="en-US"/>
    </w:rPr>
  </w:style>
  <w:style w:type="character" w:customStyle="1" w:styleId="StyleBackground1">
    <w:name w:val="Style Background 1"/>
    <w:basedOn w:val="Fuentedeprrafopredeter"/>
    <w:rsid w:val="00860091"/>
    <w:rPr>
      <w:color w:val="003781" w:themeColor="background1"/>
      <w:lang w:val="en-US"/>
    </w:rPr>
  </w:style>
  <w:style w:type="paragraph" w:customStyle="1" w:styleId="TABtext">
    <w:name w:val="TABtext"/>
    <w:basedOn w:val="Normal"/>
    <w:qFormat/>
    <w:rsid w:val="00B1634E"/>
    <w:pPr>
      <w:spacing w:after="220" w:line="250" w:lineRule="auto"/>
    </w:pPr>
    <w:rPr>
      <w:rFonts w:eastAsia="SimSun"/>
      <w:noProof w:val="0"/>
      <w:color w:val="414141"/>
      <w:sz w:val="18"/>
    </w:rPr>
  </w:style>
  <w:style w:type="paragraph" w:customStyle="1" w:styleId="TABhead">
    <w:name w:val="TABhead"/>
    <w:basedOn w:val="TABtext"/>
    <w:qFormat/>
    <w:rsid w:val="00B1634E"/>
    <w:pPr>
      <w:spacing w:after="0"/>
    </w:pPr>
    <w:rPr>
      <w:b/>
      <w:bCs/>
    </w:rPr>
  </w:style>
  <w:style w:type="paragraph" w:customStyle="1" w:styleId="Endlogo">
    <w:name w:val="Endlogo"/>
    <w:basedOn w:val="TABtext"/>
    <w:qFormat/>
    <w:rsid w:val="00B1634E"/>
    <w:pPr>
      <w:spacing w:before="480" w:after="0" w:line="240" w:lineRule="auto"/>
    </w:pPr>
  </w:style>
  <w:style w:type="paragraph" w:customStyle="1" w:styleId="AZ-PDate2">
    <w:name w:val="AZ-P Date2"/>
    <w:basedOn w:val="AZ-PDate"/>
    <w:link w:val="AZ-PDate2Zchn"/>
    <w:qFormat/>
    <w:rsid w:val="00497F68"/>
    <w:pPr>
      <w:framePr w:wrap="around"/>
      <w:spacing w:before="0"/>
    </w:pPr>
  </w:style>
  <w:style w:type="character" w:customStyle="1" w:styleId="AZ-PSenderZchn">
    <w:name w:val="AZ-P Sender Zchn"/>
    <w:basedOn w:val="Fuentedeprrafopredeter"/>
    <w:link w:val="AZ-PSender"/>
    <w:rsid w:val="00497F68"/>
    <w:rPr>
      <w:noProof/>
      <w:sz w:val="20"/>
      <w:lang w:val="en-US"/>
    </w:rPr>
  </w:style>
  <w:style w:type="character" w:customStyle="1" w:styleId="AZ-PDateZchn">
    <w:name w:val="AZ-P Date Zchn"/>
    <w:basedOn w:val="AZ-PSenderZchn"/>
    <w:link w:val="AZ-PDate"/>
    <w:rsid w:val="00497F68"/>
    <w:rPr>
      <w:noProof/>
      <w:color w:val="003781" w:themeColor="background1"/>
      <w:sz w:val="20"/>
      <w:lang w:val="en-US"/>
    </w:rPr>
  </w:style>
  <w:style w:type="character" w:customStyle="1" w:styleId="AZ-PDate2Zchn">
    <w:name w:val="AZ-P Date2 Zchn"/>
    <w:basedOn w:val="AZ-PDateZchn"/>
    <w:link w:val="AZ-PDate2"/>
    <w:rsid w:val="00497F68"/>
    <w:rPr>
      <w:noProof/>
      <w:color w:val="003781" w:themeColor="background1"/>
      <w:sz w:val="20"/>
      <w:lang w:val="en-US"/>
    </w:rPr>
  </w:style>
  <w:style w:type="character" w:styleId="Hipervnculo">
    <w:name w:val="Hyperlink"/>
    <w:rsid w:val="00FF57EC"/>
    <w:rPr>
      <w:color w:val="0000FF"/>
      <w:u w:val="single"/>
    </w:rPr>
  </w:style>
  <w:style w:type="character" w:styleId="Refdecomentario">
    <w:name w:val="annotation reference"/>
    <w:uiPriority w:val="99"/>
    <w:semiHidden/>
    <w:unhideWhenUsed/>
    <w:rsid w:val="00FF57EC"/>
    <w:rPr>
      <w:sz w:val="16"/>
      <w:szCs w:val="16"/>
    </w:rPr>
  </w:style>
  <w:style w:type="paragraph" w:styleId="Textocomentario">
    <w:name w:val="annotation text"/>
    <w:basedOn w:val="Normal"/>
    <w:link w:val="TextocomentarioCar"/>
    <w:uiPriority w:val="99"/>
    <w:unhideWhenUsed/>
    <w:rsid w:val="00FF57EC"/>
    <w:pPr>
      <w:spacing w:line="240" w:lineRule="auto"/>
    </w:pPr>
    <w:rPr>
      <w:rFonts w:ascii="Arial" w:eastAsia="Times New Roman" w:hAnsi="Arial" w:cs="Times New Roman"/>
      <w:noProof w:val="0"/>
      <w:szCs w:val="20"/>
      <w:lang w:eastAsia="de-DE"/>
    </w:rPr>
  </w:style>
  <w:style w:type="character" w:customStyle="1" w:styleId="TextocomentarioCar">
    <w:name w:val="Texto comentario Car"/>
    <w:basedOn w:val="Fuentedeprrafopredeter"/>
    <w:link w:val="Textocomentario"/>
    <w:uiPriority w:val="99"/>
    <w:rsid w:val="00FF57EC"/>
    <w:rPr>
      <w:rFonts w:ascii="Arial" w:eastAsia="Times New Roman" w:hAnsi="Arial" w:cs="Times New Roman"/>
      <w:sz w:val="20"/>
      <w:szCs w:val="20"/>
      <w:lang w:val="es-ES" w:eastAsia="de-DE"/>
    </w:rPr>
  </w:style>
  <w:style w:type="character" w:styleId="Mencinsinresolver">
    <w:name w:val="Unresolved Mention"/>
    <w:basedOn w:val="Fuentedeprrafopredeter"/>
    <w:uiPriority w:val="99"/>
    <w:semiHidden/>
    <w:rsid w:val="001A60DD"/>
    <w:rPr>
      <w:color w:val="605E5C"/>
      <w:shd w:val="clear" w:color="auto" w:fill="E1DFDD"/>
    </w:rPr>
  </w:style>
  <w:style w:type="paragraph" w:styleId="Revisin">
    <w:name w:val="Revision"/>
    <w:hidden/>
    <w:uiPriority w:val="99"/>
    <w:semiHidden/>
    <w:rsid w:val="00566896"/>
    <w:pPr>
      <w:spacing w:line="240" w:lineRule="auto"/>
    </w:pPr>
    <w:rPr>
      <w:noProof/>
      <w:sz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91007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yperlink" Target="https://www.allianz.com/en/mediacenter/disclaimer.html" TargetMode="External"/><Relationship Id="rId23" Type="http://schemas.openxmlformats.org/officeDocument/2006/relationships/theme" Target="theme/theme1.xml"/><Relationship Id="rId10" Type="http://schemas.openxmlformats.org/officeDocument/2006/relationships/webSettings" Target="webSetting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www.allianz.es/" TargetMode="Externa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2" Type="http://schemas.openxmlformats.org/officeDocument/2006/relationships/image" Target="media/image3.sv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2" Type="http://schemas.openxmlformats.org/officeDocument/2006/relationships/image" Target="media/image3.svg"/><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107708\AppData\Local\Temp\4ab7566c-2522-4d3f-bb82-81f1743dadaf_AZ_Press_Release_Standard.dotx.zip.daf\AZ_Press_Release_Standard.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7C3E0BF40AB4F609A145EB81F54600E"/>
        <w:category>
          <w:name w:val="General"/>
          <w:gallery w:val="placeholder"/>
        </w:category>
        <w:types>
          <w:type w:val="bbPlcHdr"/>
        </w:types>
        <w:behaviors>
          <w:behavior w:val="content"/>
        </w:behaviors>
        <w:guid w:val="{EBD1A550-E668-449E-9316-D5A9500520B5}"/>
      </w:docPartPr>
      <w:docPartBody>
        <w:p w:rsidR="00E0644E" w:rsidRDefault="00E0644E">
          <w:pPr>
            <w:pStyle w:val="E7C3E0BF40AB4F609A145EB81F54600E"/>
          </w:pPr>
          <w:r w:rsidRPr="00322BEF">
            <w:rPr>
              <w:rStyle w:val="Textodelmarcadordeposicin"/>
            </w:rPr>
            <w:t>[Firmenadresse]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llianz Neo">
    <w:panose1 w:val="020B0504020203020204"/>
    <w:charset w:val="00"/>
    <w:family w:val="swiss"/>
    <w:pitch w:val="variable"/>
    <w:sig w:usb0="A0000067" w:usb1="00000001" w:usb2="00000000" w:usb3="00000000" w:csb0="00000093"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Hei">
    <w:panose1 w:val="02010600030101010101"/>
    <w:charset w:val="86"/>
    <w:family w:val="modern"/>
    <w:pitch w:val="fixed"/>
    <w:sig w:usb0="800002BF" w:usb1="38CF7CFA" w:usb2="00000016" w:usb3="00000000" w:csb0="00040001" w:csb1="00000000"/>
  </w:font>
  <w:font w:name="Allianz Neo SemiBold">
    <w:charset w:val="00"/>
    <w:family w:val="swiss"/>
    <w:pitch w:val="variable"/>
    <w:sig w:usb0="A0000067" w:usb1="00000001" w:usb2="00000000" w:usb3="00000000" w:csb0="00000093"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DengXian Light">
    <w:panose1 w:val="02010600030101010101"/>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4097"/>
    <w:rsid w:val="00397F6B"/>
    <w:rsid w:val="003E0E5A"/>
    <w:rsid w:val="004A1A70"/>
    <w:rsid w:val="00503078"/>
    <w:rsid w:val="00572E2E"/>
    <w:rsid w:val="005879DB"/>
    <w:rsid w:val="006010AF"/>
    <w:rsid w:val="006B23B3"/>
    <w:rsid w:val="00754097"/>
    <w:rsid w:val="008A773A"/>
    <w:rsid w:val="00907B58"/>
    <w:rsid w:val="00917361"/>
    <w:rsid w:val="00932B6A"/>
    <w:rsid w:val="00B7055A"/>
    <w:rsid w:val="00CA4C8D"/>
    <w:rsid w:val="00D44261"/>
    <w:rsid w:val="00E0189B"/>
    <w:rsid w:val="00E0644E"/>
    <w:rsid w:val="00E52BC8"/>
    <w:rsid w:val="00E54338"/>
    <w:rsid w:val="00EA48EC"/>
    <w:rsid w:val="00F6590E"/>
    <w:rsid w:val="00FD6696"/>
  </w:rsids>
  <m:mathPr>
    <m:mathFont m:val="Cambria Math"/>
    <m:brkBin m:val="before"/>
    <m:brkBinSub m:val="--"/>
    <m:smallFrac m:val="0"/>
    <m:dispDef/>
    <m:lMargin m:val="0"/>
    <m:rMargin m:val="0"/>
    <m:defJc m:val="centerGroup"/>
    <m:wrapIndent m:val="1440"/>
    <m:intLim m:val="subSup"/>
    <m:naryLim m:val="undOvr"/>
  </m:mathPr>
  <w:themeFontLang w:val="es-ES"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s-ES" w:eastAsia="es-E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Pr>
      <w:color w:val="808080"/>
    </w:rPr>
  </w:style>
  <w:style w:type="paragraph" w:customStyle="1" w:styleId="E7C3E0BF40AB4F609A145EB81F54600E">
    <w:name w:val="E7C3E0BF40AB4F609A145EB81F54600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Alianz1">
  <a:themeElements>
    <a:clrScheme name="Custom 21">
      <a:dk1>
        <a:srgbClr val="FFFFFF"/>
      </a:dk1>
      <a:lt1>
        <a:srgbClr val="003781"/>
      </a:lt1>
      <a:dk2>
        <a:srgbClr val="CFCFCF"/>
      </a:dk2>
      <a:lt2>
        <a:srgbClr val="414141"/>
      </a:lt2>
      <a:accent1>
        <a:srgbClr val="122B54"/>
      </a:accent1>
      <a:accent2>
        <a:srgbClr val="006192"/>
      </a:accent2>
      <a:accent3>
        <a:srgbClr val="007AB3"/>
      </a:accent3>
      <a:accent4>
        <a:srgbClr val="13A0D3"/>
      </a:accent4>
      <a:accent5>
        <a:srgbClr val="B5DAE6"/>
      </a:accent5>
      <a:accent6>
        <a:srgbClr val="DFEFF2"/>
      </a:accent6>
      <a:hlink>
        <a:srgbClr val="003781"/>
      </a:hlink>
      <a:folHlink>
        <a:srgbClr val="B4B4B4"/>
      </a:folHlink>
    </a:clrScheme>
    <a:fontScheme name="Custom 3">
      <a:majorFont>
        <a:latin typeface="Allianz Neo"/>
        <a:ea typeface=""/>
        <a:cs typeface=""/>
      </a:majorFont>
      <a:minorFont>
        <a:latin typeface="Allianz Neo"/>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122B54"/>
        </a:solidFill>
        <a:ln>
          <a:noFill/>
        </a:ln>
      </a:spPr>
      <a:bodyPr rtlCol="0" anchor="ctr"/>
      <a:lstStyle>
        <a:defPPr algn="ctr">
          <a:defRPr/>
        </a:defPPr>
      </a:lstStyle>
      <a:style>
        <a:lnRef idx="2">
          <a:schemeClr val="accent1">
            <a:shade val="50000"/>
          </a:schemeClr>
        </a:lnRef>
        <a:fillRef idx="1">
          <a:schemeClr val="accent1"/>
        </a:fillRef>
        <a:effectRef idx="0">
          <a:schemeClr val="accent1"/>
        </a:effectRef>
        <a:fontRef idx="minor">
          <a:schemeClr val="lt1"/>
        </a:fontRef>
      </a:style>
    </a:spDef>
    <a:txDef>
      <a:spPr>
        <a:noFill/>
      </a:spPr>
      <a:bodyPr wrap="square" lIns="0" tIns="0" rIns="0" bIns="0" rtlCol="0" anchor="t" anchorCtr="0">
        <a:noAutofit/>
      </a:bodyPr>
      <a:lstStyle>
        <a:defPPr algn="l">
          <a:defRPr sz="1600" smtClean="0">
            <a:solidFill>
              <a:schemeClr val="bg1"/>
            </a:solidFill>
          </a:defRPr>
        </a:defPPr>
      </a:lstStyle>
    </a:txDef>
  </a:objectDefaults>
  <a:extraClrSchemeLst>
    <a:extraClrScheme>
      <a:clrScheme name="AllianzBlue">
        <a:dk1>
          <a:srgbClr val="003781"/>
        </a:dk1>
        <a:lt1>
          <a:srgbClr val="FFFFFF"/>
        </a:lt1>
        <a:dk2>
          <a:srgbClr val="414141"/>
        </a:dk2>
        <a:lt2>
          <a:srgbClr val="CFCFCF"/>
        </a:lt2>
        <a:accent1>
          <a:srgbClr val="122B54"/>
        </a:accent1>
        <a:accent2>
          <a:srgbClr val="006192"/>
        </a:accent2>
        <a:accent3>
          <a:srgbClr val="007AB3"/>
        </a:accent3>
        <a:accent4>
          <a:srgbClr val="13A0D3"/>
        </a:accent4>
        <a:accent5>
          <a:srgbClr val="B5DAE6"/>
        </a:accent5>
        <a:accent6>
          <a:srgbClr val="DFEFF2"/>
        </a:accent6>
        <a:hlink>
          <a:srgbClr val="003781"/>
        </a:hlink>
        <a:folHlink>
          <a:srgbClr val="B4B4B4"/>
        </a:folHlink>
      </a:clrScheme>
    </a:extraClrScheme>
    <a:extraClrScheme>
      <a:clrScheme name="AllianzVibrant">
        <a:dk1>
          <a:srgbClr val="003781"/>
        </a:dk1>
        <a:lt1>
          <a:srgbClr val="FFFFFF"/>
        </a:lt1>
        <a:dk2>
          <a:srgbClr val="414141"/>
        </a:dk2>
        <a:lt2>
          <a:srgbClr val="CFCFCF"/>
        </a:lt2>
        <a:accent1>
          <a:srgbClr val="00908D"/>
        </a:accent1>
        <a:accent2>
          <a:srgbClr val="5FCD8A"/>
        </a:accent2>
        <a:accent3>
          <a:srgbClr val="A6276F"/>
        </a:accent3>
        <a:accent4>
          <a:srgbClr val="F62459"/>
        </a:accent4>
        <a:accent5>
          <a:srgbClr val="F86200"/>
        </a:accent5>
        <a:accent6>
          <a:srgbClr val="FAB600"/>
        </a:accent6>
        <a:hlink>
          <a:srgbClr val="003781"/>
        </a:hlink>
        <a:folHlink>
          <a:srgbClr val="B4B4B4"/>
        </a:folHlink>
      </a:clrScheme>
    </a:extraClrScheme>
  </a:extraClrSchemeLst>
  <a:custClrLst>
    <a:custClr name="rgb(18,43,84)">
      <a:srgbClr val="122B54"/>
    </a:custClr>
    <a:custClr name="rgb(0,97,146)">
      <a:srgbClr val="006192"/>
    </a:custClr>
    <a:custClr name="rgb(0,122,179)">
      <a:srgbClr val="007AB3"/>
    </a:custClr>
    <a:custClr name="rgb(19,160,211)">
      <a:srgbClr val="13A0D3"/>
    </a:custClr>
    <a:custClr name="rgb(181,218,230)">
      <a:srgbClr val="B5DAE6"/>
    </a:custClr>
    <a:custClr name="rgb(223,239,242)">
      <a:srgbClr val="DFEFF2"/>
    </a:custClr>
    <a:custClr name="rgb(0,144,141)">
      <a:srgbClr val="00908D"/>
    </a:custClr>
    <a:custClr name="rgb(95,205,138)">
      <a:srgbClr val="5FCD8A"/>
    </a:custClr>
    <a:custClr name="rgb(166,39,111)">
      <a:srgbClr val="A6276F"/>
    </a:custClr>
    <a:custClr name="rgb(246,36,89)">
      <a:srgbClr val="F62459"/>
    </a:custClr>
    <a:custClr name="rgb(248,98,0)">
      <a:srgbClr val="F86200"/>
    </a:custClr>
    <a:custClr name="rgb(250,182,0)">
      <a:srgbClr val="FAB600"/>
    </a:custClr>
  </a:custClrLst>
  <a:extLst>
    <a:ext uri="{05A4C25C-085E-4340-85A3-A5531E510DB2}">
      <thm15:themeFamily xmlns:thm15="http://schemas.microsoft.com/office/thememl/2012/main" name="Alianz" id="{E99355A1-29ED-4A53-A540-FC29DF417B25}" vid="{25B894C9-33C2-4AFA-9DAC-E9BCD7A69FBE}"/>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10 Septiembre 2026</PublishDate>
  <Abstract/>
  <CompanyAddress>Madrid</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B304FBE35F569468B297629135C7396" ma:contentTypeVersion="48" ma:contentTypeDescription="Create a new document." ma:contentTypeScope="" ma:versionID="d3d7aa1ce60ca7f9d85bfb75e2edf0c7">
  <xsd:schema xmlns:xsd="http://www.w3.org/2001/XMLSchema" xmlns:xs="http://www.w3.org/2001/XMLSchema" xmlns:p="http://schemas.microsoft.com/office/2006/metadata/properties" xmlns:ns2="9ff07a45-11f5-479e-a441-cd98a86709fe" xmlns:ns3="5d5361cd-dd21-42bb-ace1-e1b72dd4ac82" targetNamespace="http://schemas.microsoft.com/office/2006/metadata/properties" ma:root="true" ma:fieldsID="f6eed1c37449dbbe9271dd54985351d7" ns2:_="" ns3:_="">
    <xsd:import namespace="9ff07a45-11f5-479e-a441-cd98a86709fe"/>
    <xsd:import namespace="5d5361cd-dd21-42bb-ace1-e1b72dd4ac82"/>
    <xsd:element name="properties">
      <xsd:complexType>
        <xsd:sequence>
          <xsd:element name="documentManagement">
            <xsd:complexType>
              <xsd:all>
                <xsd:element ref="ns2:DossierOwner" minOccurs="0"/>
                <xsd:element ref="ns2:DossierStatus" minOccurs="0"/>
                <xsd:element ref="ns2:MaterialContract" minOccurs="0"/>
                <xsd:element ref="ns2:ContractStatus" minOccurs="0"/>
                <xsd:element ref="ns2:OutsourcingAgreement" minOccurs="0"/>
                <xsd:element ref="ns2:ExternalContractingParties" minOccurs="0"/>
                <xsd:element ref="ns2:ContractDate" minOccurs="0"/>
                <xsd:element ref="ns2:PlaceOfOriginal" minOccurs="0"/>
                <xsd:element ref="ns2:ContractManagers" minOccurs="0"/>
                <xsd:element ref="ns2:nd762d5e82fb490792aa88eaddbb89ea" minOccurs="0"/>
                <xsd:element ref="ns2:TaxCatchAll" minOccurs="0"/>
                <xsd:element ref="ns2:TaxCatchAllLabel" minOccurs="0"/>
                <xsd:element ref="ns2:DocumentClass" minOccurs="0"/>
                <xsd:element ref="ns2:l6856d4619ce496882360609f9fc1dec" minOccurs="0"/>
                <xsd:element ref="ns2:_dlc_DocId" minOccurs="0"/>
                <xsd:element ref="ns2:ContractType" minOccurs="0"/>
                <xsd:element ref="ns2:_dlc_DocIdUrl" minOccurs="0"/>
                <xsd:element ref="ns2:_dlc_DocIdPersistId" minOccurs="0"/>
                <xsd:element ref="ns2:ContractExpirationDate"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f07a45-11f5-479e-a441-cd98a86709fe" elementFormDefault="qualified">
    <xsd:import namespace="http://schemas.microsoft.com/office/2006/documentManagement/types"/>
    <xsd:import namespace="http://schemas.microsoft.com/office/infopath/2007/PartnerControls"/>
    <xsd:element name="DossierOwner" ma:index="2" nillable="true" ma:displayName="Propietario(s) del expediente" ma:description="Persona(s) propietarias del expediente." ma:internalName="DossierOwn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ossierStatus" ma:index="3" nillable="true" ma:displayName="Estado del expediente" ma:default="" ma:description="Indica el estatus del dosier." ma:format="Dropdown" ma:internalName="DossierStatus" ma:readOnly="false">
      <xsd:simpleType>
        <xsd:restriction base="dms:Choice">
          <xsd:enumeration value="Abierto"/>
          <xsd:enumeration value="Cerrado"/>
        </xsd:restriction>
      </xsd:simpleType>
    </xsd:element>
    <xsd:element name="MaterialContract" ma:index="4" nillable="true" ma:displayName="Contrato con umbral materal" ma:description="Identificar si el contrato tiene umbral material." ma:format="Dropdown" ma:internalName="MaterialContract" ma:readOnly="false">
      <xsd:simpleType>
        <xsd:restriction base="dms:Boolean"/>
      </xsd:simpleType>
    </xsd:element>
    <xsd:element name="ContractStatus" ma:index="6" nillable="true" ma:displayName="Estado del contrato" ma:default="Sequía" ma:description="El estado del contrato." ma:format="Dropdown" ma:internalName="ContractStatus" ma:readOnly="false">
      <xsd:simpleType>
        <xsd:restriction base="dms:Choice">
          <xsd:enumeration value="Sequía"/>
          <xsd:enumeration value="Activo"/>
          <xsd:enumeration value="Terminado"/>
        </xsd:restriction>
      </xsd:simpleType>
    </xsd:element>
    <xsd:element name="OutsourcingAgreement" ma:index="7" nillable="true" ma:displayName="Acuerdo de subcontratacion" ma:description="Si un contrato es de subcontratacion en el sentido de la Politica de Subcontratacion del Grupo, el dosier necesita ser marcado como tal." ma:format="Dropdown" ma:internalName="OutsourcingAgreement" ma:readOnly="false">
      <xsd:simpleType>
        <xsd:restriction base="dms:Boolean"/>
      </xsd:simpleType>
    </xsd:element>
    <xsd:element name="ExternalContractingParties" ma:index="8" nillable="true" ma:displayName="Partes contratantes externas" ma:description="Nombre(s) de las partes contratantes externas." ma:internalName="ExternalContractingParties" ma:readOnly="false">
      <xsd:simpleType>
        <xsd:restriction base="dms:Text"/>
      </xsd:simpleType>
    </xsd:element>
    <xsd:element name="ContractDate" ma:index="9" nillable="true" ma:displayName="Fecha del contrato" ma:description="Fecha de celebración del contrato." ma:format="DateOnly" ma:internalName="ContractDate" ma:readOnly="false">
      <xsd:simpleType>
        <xsd:restriction base="dms:DateTime"/>
      </xsd:simpleType>
    </xsd:element>
    <xsd:element name="PlaceOfOriginal" ma:index="10" nillable="true" ma:displayName="Lugar de la copia original" ma:description="En caso que se mantenga una copia original en papel del contrato, indiquese el lugar donde se conserva aqui." ma:internalName="PlaceOfOriginal" ma:readOnly="false">
      <xsd:simpleType>
        <xsd:restriction base="dms:Text"/>
      </xsd:simpleType>
    </xsd:element>
    <xsd:element name="ContractManagers" ma:index="11" nillable="true" ma:displayName="Gestores del contrato" ma:description="Persona(s) que gestionan el contrato y conocen los detalles." ma:list="UserInfo" ma:internalName="ContractManagers"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nd762d5e82fb490792aa88eaddbb89ea" ma:index="14" nillable="true" ma:taxonomy="true" ma:internalName="nd762d5e82fb490792aa88eaddbb89ea" ma:taxonomyFieldName="Document_Class" ma:displayName="Categoria del documento" ma:readOnly="false" ma:fieldId="{7d762d5e-82fb-4907-92aa-88eaddbb89ea}" ma:sspId="10820af1-e82f-496e-bbcb-d9502914b7b2" ma:termSetId="a8fe5516-3f25-4a18-9fe8-9ec61fcfebb7" ma:anchorId="00000000-0000-0000-0000-000000000000" ma:open="false" ma:isKeyword="false">
      <xsd:complexType>
        <xsd:sequence>
          <xsd:element ref="pc:Terms" minOccurs="0" maxOccurs="1"/>
        </xsd:sequence>
      </xsd:complexType>
    </xsd:element>
    <xsd:element name="TaxCatchAll" ma:index="15" nillable="true" ma:displayName="Taxonomy Catch All Column" ma:hidden="true" ma:list="{b2ba0cfd-a642-482e-bf59-faef85f1cda4}" ma:internalName="TaxCatchAll" ma:readOnly="false" ma:showField="CatchAllData" ma:web="9ff07a45-11f5-479e-a441-cd98a86709fe">
      <xsd:complexType>
        <xsd:complexContent>
          <xsd:extension base="dms:MultiChoiceLookup">
            <xsd:sequence>
              <xsd:element name="Value" type="dms:Lookup" maxOccurs="unbounded" minOccurs="0" nillable="true"/>
            </xsd:sequence>
          </xsd:extension>
        </xsd:complexContent>
      </xsd:complexType>
    </xsd:element>
    <xsd:element name="TaxCatchAllLabel" ma:index="16" nillable="true" ma:displayName="Taxonomy Catch All Column1" ma:hidden="true" ma:list="{b2ba0cfd-a642-482e-bf59-faef85f1cda4}" ma:internalName="TaxCatchAllLabel" ma:readOnly="false" ma:showField="CatchAllDataLabel" ma:web="9ff07a45-11f5-479e-a441-cd98a86709fe">
      <xsd:complexType>
        <xsd:complexContent>
          <xsd:extension base="dms:MultiChoiceLookup">
            <xsd:sequence>
              <xsd:element name="Value" type="dms:Lookup" maxOccurs="unbounded" minOccurs="0" nillable="true"/>
            </xsd:sequence>
          </xsd:extension>
        </xsd:complexContent>
      </xsd:complexType>
    </xsd:element>
    <xsd:element name="DocumentClass" ma:index="18" nillable="true" ma:displayName="Categoria del documento" ma:default="Empieza por número" ma:description="Atributo para clasificar el Documento de acuerdo con la programacion de retencion del documento." ma:format="Dropdown" ma:hidden="true" ma:internalName="DocumentClass" ma:readOnly="false">
      <xsd:simpleType>
        <xsd:restriction base="dms:Text">
          <xsd:maxLength value="255"/>
        </xsd:restriction>
      </xsd:simpleType>
    </xsd:element>
    <xsd:element name="l6856d4619ce496882360609f9fc1dec" ma:index="20" nillable="true" ma:taxonomy="true" ma:internalName="l6856d4619ce496882360609f9fc1dec" ma:taxonomyFieldName="Contract_Type" ma:displayName="Tipo de contrato" ma:readOnly="false" ma:fieldId="{56856d46-19ce-4968-8236-0609f9fc1dec}" ma:sspId="10820af1-e82f-496e-bbcb-d9502914b7b2" ma:termSetId="70805c8f-f58a-429f-b5cb-62c5b6dc5528" ma:anchorId="00000000-0000-0000-0000-000000000000" ma:open="false" ma:isKeyword="false">
      <xsd:complexType>
        <xsd:sequence>
          <xsd:element ref="pc:Terms" minOccurs="0" maxOccurs="1"/>
        </xsd:sequence>
      </xsd:complexType>
    </xsd:element>
    <xsd:element name="_dlc_DocId" ma:index="24" nillable="true" ma:displayName="Document ID Value" ma:description="The value of the document ID assigned to this item." ma:hidden="true" ma:indexed="true" ma:internalName="_dlc_DocId" ma:readOnly="false">
      <xsd:simpleType>
        <xsd:restriction base="dms:Text"/>
      </xsd:simpleType>
    </xsd:element>
    <xsd:element name="ContractType" ma:index="25" nillable="true" ma:displayName="Tipo de contrato" ma:description="Atributo para clasificar el contrato. Seleccione un valor entre tipos de contrato estándar o tipos de contrato especiales." ma:format="Dropdown" ma:hidden="true" ma:internalName="ContractType" ma:readOnly="false">
      <xsd:simpleType>
        <xsd:restriction base="dms:Choice">
          <xsd:enumeration value="Tipos de contratos estándar (Seleccione de abajp):"/>
          <xsd:enumeration value="-----------------------"/>
          <xsd:enumeration value="Acuerdo de servicio, Acuerdo de nivel de servicio"/>
          <xsd:enumeration value="Acuerdo de compra (compras y ventas)"/>
          <xsd:enumeration value="Acuerdo de prestamo"/>
          <xsd:enumeration value="Acuerdo de confidencialidad"/>
          <xsd:enumeration value="Acuerdo de cooperación"/>
          <xsd:enumeration value="Carta de Intención, Memorando de Entendimiento"/>
          <xsd:enumeration value="Contrato de seguro"/>
          <xsd:enumeration value="Garantía, Carta de Confort, Carta de Crédito"/>
          <xsd:enumeration value="Otro"/>
          <xsd:enumeration value="-----------------------"/>
          <xsd:enumeration value="Tipos de contratos especiales (Seleccione de abajp):"/>
          <xsd:enumeration value="-----------------------"/>
          <xsd:enumeration value="Acuerdo de empleo"/>
          <xsd:enumeration value="Contrato de alquiler o arrendamiento"/>
          <xsd:enumeration value="Acuerdo de licencia"/>
          <xsd:enumeration value="Acuerdo de privacidad"/>
          <xsd:enumeration value="Acuerdo de agencia (agente vinculado)"/>
          <xsd:enumeration value="Acuerdo de corretaje (corredor)"/>
          <xsd:enumeration value="Acuerdo de distribución"/>
          <xsd:enumeration value="Empleador - Comité de empresa / Acuerdo sindical"/>
          <xsd:enumeration value="Acuerdo de inversión o financiamiento"/>
          <xsd:enumeration value="Contrato de resaseguro"/>
          <xsd:enumeration value="Acuerdo de accionistas"/>
          <xsd:enumeration value="Contrato de control o transferencia de beneficios"/>
          <xsd:enumeration value="Acuerdo de empresa conjunta"/>
          <xsd:enumeration value="Acuerdo de confianza"/>
          <xsd:enumeration value="Acuerdo de compraventa / fusión de acciones o empresas"/>
          <xsd:enumeration value="Contrato con un miembro del Consejo de Administración o del Consejo de Supervisión"/>
        </xsd:restriction>
      </xsd:simpleType>
    </xsd:element>
    <xsd:element name="_dlc_DocIdUrl" ma:index="26" nillable="true" ma:displayName="Document ID" ma:description="Permanent link to this document." ma:hidden="true" ma:internalName="_dlc_DocIdUrl"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7" nillable="true" ma:displayName="Persist ID" ma:description="Keep ID on add." ma:hidden="true" ma:internalName="_dlc_DocIdPersistId" ma:readOnly="false">
      <xsd:simpleType>
        <xsd:restriction base="dms:Boolean"/>
      </xsd:simpleType>
    </xsd:element>
    <xsd:element name="ContractExpirationDate" ma:index="28" nillable="true" ma:displayName="Fecha de expiración" ma:description="Fecha cuando expira/ finaliza el contrato." ma:format="DateOnly" ma:hidden="true" ma:internalName="ContractExpirationDate" ma:readOnly="fals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5d5361cd-dd21-42bb-ace1-e1b72dd4ac82" elementFormDefault="qualified">
    <xsd:import namespace="http://schemas.microsoft.com/office/2006/documentManagement/types"/>
    <xsd:import namespace="http://schemas.microsoft.com/office/infopath/2007/PartnerControls"/>
    <xsd:element name="MediaServiceBillingMetadata" ma:index="29"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p:properties xmlns:p="http://schemas.microsoft.com/office/2006/metadata/properties" xmlns:xsi="http://www.w3.org/2001/XMLSchema-instance" xmlns:pc="http://schemas.microsoft.com/office/infopath/2007/PartnerControls">
  <documentManagement>
    <PlaceOfOriginal xmlns="9ff07a45-11f5-479e-a441-cd98a86709fe" xsi:nil="true"/>
    <_dlc_DocIdPersistId xmlns="9ff07a45-11f5-479e-a441-cd98a86709fe" xsi:nil="true"/>
    <DossierStatus xmlns="9ff07a45-11f5-479e-a441-cd98a86709fe" xsi:nil="true"/>
    <ContractManagers xmlns="9ff07a45-11f5-479e-a441-cd98a86709fe">
      <UserInfo>
        <DisplayName/>
        <AccountId xsi:nil="true"/>
        <AccountType/>
      </UserInfo>
    </ContractManagers>
    <OutsourcingAgreement xmlns="9ff07a45-11f5-479e-a441-cd98a86709fe" xsi:nil="true"/>
    <ContractDate xmlns="9ff07a45-11f5-479e-a441-cd98a86709fe" xsi:nil="true"/>
    <MaterialContract xmlns="9ff07a45-11f5-479e-a441-cd98a86709fe" xsi:nil="true"/>
    <ExternalContractingParties xmlns="9ff07a45-11f5-479e-a441-cd98a86709fe" xsi:nil="true"/>
    <ContractType xmlns="9ff07a45-11f5-479e-a441-cd98a86709fe" xsi:nil="true"/>
    <ContractExpirationDate xmlns="9ff07a45-11f5-479e-a441-cd98a86709fe" xsi:nil="true"/>
    <DossierOwner xmlns="9ff07a45-11f5-479e-a441-cd98a86709fe">
      <UserInfo>
        <DisplayName/>
        <AccountId xsi:nil="true"/>
        <AccountType/>
      </UserInfo>
    </DossierOwner>
    <nd762d5e82fb490792aa88eaddbb89ea xmlns="9ff07a45-11f5-479e-a441-cd98a86709fe">
      <Terms xmlns="http://schemas.microsoft.com/office/infopath/2007/PartnerControls"/>
    </nd762d5e82fb490792aa88eaddbb89ea>
    <DocumentClass xmlns="9ff07a45-11f5-479e-a441-cd98a86709fe">Empieza por número</DocumentClass>
    <ContractStatus xmlns="9ff07a45-11f5-479e-a441-cd98a86709fe">Sequía</ContractStatus>
    <_dlc_DocId xmlns="9ff07a45-11f5-479e-a441-cd98a86709fe">XU7P7SY2DP3Q-491014520-212641</_dlc_DocId>
    <l6856d4619ce496882360609f9fc1dec xmlns="9ff07a45-11f5-479e-a441-cd98a86709fe">
      <Terms xmlns="http://schemas.microsoft.com/office/infopath/2007/PartnerControls"/>
    </l6856d4619ce496882360609f9fc1dec>
    <TaxCatchAll xmlns="9ff07a45-11f5-479e-a441-cd98a86709fe" xsi:nil="true"/>
    <TaxCatchAllLabel xmlns="9ff07a45-11f5-479e-a441-cd98a86709fe" xsi:nil="true"/>
    <_dlc_DocIdUrl xmlns="9ff07a45-11f5-479e-a441-cd98a86709fe">
      <Url>https://allianzms.sharepoint.com/teams/ES0006-3163019/_layouts/15/DocIdRedir.aspx?ID=XU7P7SY2DP3Q-491014520-212641</Url>
      <Description>XU7P7SY2DP3Q-491014520-212641</Description>
    </_dlc_DocIdUrl>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51C313F4-CC87-4AD8-BF0D-5734B7643F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f07a45-11f5-479e-a441-cd98a86709fe"/>
    <ds:schemaRef ds:uri="5d5361cd-dd21-42bb-ace1-e1b72dd4ac8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5ECBF5E-49A3-407D-9B17-81FA4C907EB5}">
  <ds:schemaRefs>
    <ds:schemaRef ds:uri="http://schemas.microsoft.com/sharepoint/events"/>
  </ds:schemaRefs>
</ds:datastoreItem>
</file>

<file path=customXml/itemProps4.xml><?xml version="1.0" encoding="utf-8"?>
<ds:datastoreItem xmlns:ds="http://schemas.openxmlformats.org/officeDocument/2006/customXml" ds:itemID="{31F5FDF4-C1E7-4FC2-9A1F-D6F30CAC875D}">
  <ds:schemaRefs>
    <ds:schemaRef ds:uri="http://schemas.microsoft.com/office/2006/metadata/properties"/>
    <ds:schemaRef ds:uri="http://schemas.microsoft.com/office/infopath/2007/PartnerControls"/>
    <ds:schemaRef ds:uri="9ff07a45-11f5-479e-a441-cd98a86709fe"/>
  </ds:schemaRefs>
</ds:datastoreItem>
</file>

<file path=customXml/itemProps5.xml><?xml version="1.0" encoding="utf-8"?>
<ds:datastoreItem xmlns:ds="http://schemas.openxmlformats.org/officeDocument/2006/customXml" ds:itemID="{0FF3AAAC-C920-4698-AAD2-60D96C258D7B}">
  <ds:schemaRefs>
    <ds:schemaRef ds:uri="http://schemas.microsoft.com/sharepoint/v3/contenttype/forms"/>
  </ds:schemaRefs>
</ds:datastoreItem>
</file>

<file path=customXml/itemProps6.xml><?xml version="1.0" encoding="utf-8"?>
<ds:datastoreItem xmlns:ds="http://schemas.openxmlformats.org/officeDocument/2006/customXml" ds:itemID="{D3DD263F-582A-470B-ADAE-FEE3557E31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AZ_Press_Release_Standard.dotx</Template>
  <TotalTime>0</TotalTime>
  <Pages>4</Pages>
  <Words>1004</Words>
  <Characters>5727</Characters>
  <Application>Microsoft Office Word</Application>
  <DocSecurity>0</DocSecurity>
  <Lines>47</Lines>
  <Paragraphs>13</Paragraphs>
  <ScaleCrop>false</ScaleCrop>
  <Company>Allianz Trade</Company>
  <LinksUpToDate>false</LinksUpToDate>
  <CharactersWithSpaces>6718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Media Release</dc:title>
  <dc:subject/>
  <dc:creator>E107708</dc:creator>
  <cp:keywords/>
  <dc:description/>
  <cp:lastModifiedBy>Rodriguez Mosquera, Sonia (Allianz Compania de Seguros y Reaseguros S.A.)</cp:lastModifiedBy>
  <cp:revision>2</cp:revision>
  <cp:lastPrinted>2022-08-24T12:00:00Z</cp:lastPrinted>
  <dcterms:created xsi:type="dcterms:W3CDTF">2026-09-10T07:10:00Z</dcterms:created>
  <dcterms:modified xsi:type="dcterms:W3CDTF">2026-09-10T07:10:00Z</dcterms:modified>
  <cp:version>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6a7ab862,47b4e203,331d626c</vt:lpwstr>
  </property>
  <property fmtid="{D5CDD505-2E9C-101B-9397-08002B2CF9AE}" pid="3" name="ClassificationContentMarkingHeaderFontProps">
    <vt:lpwstr>#000000,10,Calibri</vt:lpwstr>
  </property>
  <property fmtid="{D5CDD505-2E9C-101B-9397-08002B2CF9AE}" pid="4" name="ClassificationContentMarkingHeaderText">
    <vt:lpwstr>Internal</vt:lpwstr>
  </property>
  <property fmtid="{D5CDD505-2E9C-101B-9397-08002B2CF9AE}" pid="5" name="MSIP_Label_863bc15e-e7bf-41c1-bdb3-03882d8a2e2c_Enabled">
    <vt:lpwstr>true</vt:lpwstr>
  </property>
  <property fmtid="{D5CDD505-2E9C-101B-9397-08002B2CF9AE}" pid="6" name="MSIP_Label_863bc15e-e7bf-41c1-bdb3-03882d8a2e2c_SetDate">
    <vt:lpwstr>2026-05-13T13:02:18Z</vt:lpwstr>
  </property>
  <property fmtid="{D5CDD505-2E9C-101B-9397-08002B2CF9AE}" pid="7" name="MSIP_Label_863bc15e-e7bf-41c1-bdb3-03882d8a2e2c_Method">
    <vt:lpwstr>Privileged</vt:lpwstr>
  </property>
  <property fmtid="{D5CDD505-2E9C-101B-9397-08002B2CF9AE}" pid="8" name="MSIP_Label_863bc15e-e7bf-41c1-bdb3-03882d8a2e2c_Name">
    <vt:lpwstr>863bc15e-e7bf-41c1-bdb3-03882d8a2e2c</vt:lpwstr>
  </property>
  <property fmtid="{D5CDD505-2E9C-101B-9397-08002B2CF9AE}" pid="9" name="MSIP_Label_863bc15e-e7bf-41c1-bdb3-03882d8a2e2c_SiteId">
    <vt:lpwstr>6e06e42d-6925-47c6-b9e7-9581c7ca302a</vt:lpwstr>
  </property>
  <property fmtid="{D5CDD505-2E9C-101B-9397-08002B2CF9AE}" pid="10" name="MSIP_Label_863bc15e-e7bf-41c1-bdb3-03882d8a2e2c_ActionId">
    <vt:lpwstr>f14037b9-c380-4d29-affe-fc8147156a38</vt:lpwstr>
  </property>
  <property fmtid="{D5CDD505-2E9C-101B-9397-08002B2CF9AE}" pid="11" name="MSIP_Label_863bc15e-e7bf-41c1-bdb3-03882d8a2e2c_ContentBits">
    <vt:lpwstr>1</vt:lpwstr>
  </property>
  <property fmtid="{D5CDD505-2E9C-101B-9397-08002B2CF9AE}" pid="12" name="MSIP_Label_863bc15e-e7bf-41c1-bdb3-03882d8a2e2c_Tag">
    <vt:lpwstr>10, 0, 1, 1</vt:lpwstr>
  </property>
  <property fmtid="{D5CDD505-2E9C-101B-9397-08002B2CF9AE}" pid="13" name="ContentTypeId">
    <vt:lpwstr>0x010100CB304FBE35F569468B297629135C7396</vt:lpwstr>
  </property>
  <property fmtid="{D5CDD505-2E9C-101B-9397-08002B2CF9AE}" pid="14" name="DossierDepartment">
    <vt:lpwstr/>
  </property>
  <property fmtid="{D5CDD505-2E9C-101B-9397-08002B2CF9AE}" pid="15" name="AllianzContractingParties">
    <vt:lpwstr/>
  </property>
  <property fmtid="{D5CDD505-2E9C-101B-9397-08002B2CF9AE}" pid="16" name="MediaServiceImageTags">
    <vt:lpwstr/>
  </property>
  <property fmtid="{D5CDD505-2E9C-101B-9397-08002B2CF9AE}" pid="17" name="Contract_Type">
    <vt:lpwstr/>
  </property>
  <property fmtid="{D5CDD505-2E9C-101B-9397-08002B2CF9AE}" pid="18" name="b0fe84444e894ab98172082a3d0e58f8">
    <vt:lpwstr/>
  </property>
  <property fmtid="{D5CDD505-2E9C-101B-9397-08002B2CF9AE}" pid="19" name="Document_Class">
    <vt:lpwstr/>
  </property>
  <property fmtid="{D5CDD505-2E9C-101B-9397-08002B2CF9AE}" pid="20" name="iccd162ff52447b49ab8f5fd8f2cec1e">
    <vt:lpwstr/>
  </property>
  <property fmtid="{D5CDD505-2E9C-101B-9397-08002B2CF9AE}" pid="21" name="lcf76f155ced4ddcb4097134ff3c332f">
    <vt:lpwstr/>
  </property>
  <property fmtid="{D5CDD505-2E9C-101B-9397-08002B2CF9AE}" pid="22" name="_dlc_DocIdItemGuid">
    <vt:lpwstr>f6e2bd88-ebbe-421f-b6f2-1fcec37fd7d3</vt:lpwstr>
  </property>
</Properties>
</file>