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646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</w:p>
    <w:p w14:paraId="38C76EA0" w14:textId="35096C68" w:rsidR="000C0C6E" w:rsidRDefault="000C0C6E" w:rsidP="00103BD4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 w:rsidR="009F3342">
        <w:rPr>
          <w:rStyle w:val="normaltextrun"/>
          <w:rFonts w:ascii="Arial" w:hAnsi="Arial" w:cs="Arial"/>
          <w:b/>
          <w:bCs/>
          <w:sz w:val="32"/>
          <w:szCs w:val="32"/>
        </w:rPr>
        <w:t xml:space="preserve">Soluciones de Inversión </w:t>
      </w:r>
      <w:r w:rsidR="009F3342" w:rsidRPr="009F3342">
        <w:rPr>
          <w:rStyle w:val="normaltextrun"/>
          <w:rFonts w:ascii="Arial" w:hAnsi="Arial" w:cs="Arial"/>
          <w:b/>
          <w:bCs/>
          <w:sz w:val="32"/>
          <w:szCs w:val="32"/>
        </w:rPr>
        <w:t>lanza tres nuevos fondos de inversión</w:t>
      </w:r>
      <w:r w:rsidR="009F3342">
        <w:rPr>
          <w:rStyle w:val="normaltextrun"/>
          <w:rFonts w:ascii="Arial" w:hAnsi="Arial" w:cs="Arial"/>
          <w:b/>
          <w:bCs/>
          <w:sz w:val="32"/>
          <w:szCs w:val="32"/>
        </w:rPr>
        <w:t xml:space="preserve"> y refuerza su competitividad </w:t>
      </w:r>
    </w:p>
    <w:p w14:paraId="55EBCAB6" w14:textId="77777777" w:rsidR="000C0C6E" w:rsidRDefault="000C0C6E" w:rsidP="00103BD4">
      <w:pPr>
        <w:pStyle w:val="paragraph"/>
        <w:spacing w:before="0" w:beforeAutospacing="0" w:after="0" w:afterAutospacing="0" w:line="360" w:lineRule="auto"/>
        <w:ind w:left="539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51CC991C" w14:textId="7E985DBA" w:rsidR="000C0C6E" w:rsidRPr="00816902" w:rsidRDefault="009F3342" w:rsidP="376864E6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9F3342">
        <w:rPr>
          <w:rStyle w:val="normaltextrun"/>
          <w:rFonts w:ascii="Arial" w:hAnsi="Arial" w:cs="Arial"/>
          <w:b/>
          <w:bCs/>
        </w:rPr>
        <w:t>El objetivo de estas nuevas soluciones es lograr una mayor adaptación al mercado y a las necesidades actuales de los clientes.</w:t>
      </w:r>
    </w:p>
    <w:p w14:paraId="311A9DB7" w14:textId="700A3AA8" w:rsidR="000C0C6E" w:rsidRPr="008A657C" w:rsidRDefault="009F3342" w:rsidP="00A14B00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9F3342">
        <w:rPr>
          <w:rStyle w:val="normaltextrun"/>
          <w:rFonts w:ascii="Arial" w:hAnsi="Arial" w:cs="Arial"/>
          <w:b/>
          <w:bCs/>
        </w:rPr>
        <w:t>Se trata de fondos de PIMCO, gestora líder mundial en gestión activa de renta fija, con más de 3.400 empleados, 50 años de experiencia y más de $1,8 billones de activos gestionados.</w:t>
      </w:r>
    </w:p>
    <w:p w14:paraId="65214773" w14:textId="77777777" w:rsidR="000C0C6E" w:rsidRDefault="000C0C6E" w:rsidP="000C0C6E">
      <w:pPr>
        <w:pStyle w:val="paragraph"/>
        <w:spacing w:before="0" w:beforeAutospacing="0" w:after="0" w:afterAutospacing="0"/>
        <w:ind w:left="540" w:righ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432C026" w14:textId="0BF0215E" w:rsidR="0003194F" w:rsidRPr="00A8471C" w:rsidRDefault="00CA531F" w:rsidP="009F3342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376864E6">
        <w:rPr>
          <w:rStyle w:val="normaltextrun"/>
          <w:rFonts w:ascii="Arial" w:hAnsi="Arial" w:cs="Arial"/>
          <w:b/>
          <w:bCs/>
          <w:sz w:val="22"/>
          <w:szCs w:val="22"/>
        </w:rPr>
        <w:t>Madrid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 w:rsidR="00197214">
        <w:rPr>
          <w:rStyle w:val="normaltextrun"/>
          <w:rFonts w:ascii="Arial" w:hAnsi="Arial" w:cs="Arial"/>
          <w:b/>
          <w:bCs/>
          <w:sz w:val="22"/>
          <w:szCs w:val="22"/>
        </w:rPr>
        <w:t>21</w:t>
      </w:r>
      <w:r w:rsidRPr="376864E6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</w:t>
      </w:r>
      <w:r w:rsidR="009F3342">
        <w:rPr>
          <w:rStyle w:val="normaltextrun"/>
          <w:rFonts w:ascii="Arial" w:hAnsi="Arial" w:cs="Arial"/>
          <w:b/>
          <w:bCs/>
          <w:sz w:val="22"/>
          <w:szCs w:val="22"/>
        </w:rPr>
        <w:t>junio</w:t>
      </w:r>
      <w:r w:rsidR="002E789F" w:rsidRPr="376864E6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>20</w:t>
      </w:r>
      <w:r w:rsidR="00A14B00" w:rsidRPr="376864E6"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  <w:r w:rsidRPr="376864E6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>.-</w:t>
      </w:r>
      <w:r w:rsidR="000C0C6E" w:rsidRPr="376864E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C0C6E" w:rsidRPr="00A8471C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9F3342" w:rsidRPr="00A8471C">
        <w:rPr>
          <w:rStyle w:val="normaltextrun"/>
          <w:rFonts w:ascii="Arial" w:hAnsi="Arial" w:cs="Arial"/>
          <w:sz w:val="22"/>
          <w:szCs w:val="22"/>
        </w:rPr>
        <w:t xml:space="preserve">Soluciones de Inversión, la agencia de valores del Grupo Allianz, ha anunciado el lanzamiento al mercado e inicio de comercialización de tres nuevos fondos de inversión, que se suman así a su cartera </w:t>
      </w:r>
      <w:r w:rsidR="009F3342" w:rsidRPr="000F1F96">
        <w:rPr>
          <w:rFonts w:ascii="Arial" w:hAnsi="Arial" w:cs="Arial"/>
          <w:sz w:val="22"/>
          <w:szCs w:val="22"/>
        </w:rPr>
        <w:t xml:space="preserve">para completar la oferta de fondos actuales. El objetivo de estas nuevas soluciones es lograr una mayor adaptación al mercado y </w:t>
      </w:r>
      <w:r w:rsidR="00C85F3E" w:rsidRPr="000F1F96">
        <w:rPr>
          <w:rFonts w:ascii="Arial" w:hAnsi="Arial" w:cs="Arial"/>
          <w:sz w:val="22"/>
          <w:szCs w:val="22"/>
        </w:rPr>
        <w:t xml:space="preserve">ofrecer un abanico más amplio para cubrir </w:t>
      </w:r>
      <w:r w:rsidR="009F3342" w:rsidRPr="000F1F96">
        <w:rPr>
          <w:rFonts w:ascii="Arial" w:hAnsi="Arial" w:cs="Arial"/>
          <w:sz w:val="22"/>
          <w:szCs w:val="22"/>
        </w:rPr>
        <w:t>las necesidades actuales de los clientes.</w:t>
      </w:r>
    </w:p>
    <w:p w14:paraId="4F5620EC" w14:textId="39EE1F92" w:rsidR="58C18629" w:rsidRPr="00A8471C" w:rsidRDefault="58C18629" w:rsidP="00A8471C">
      <w:pPr>
        <w:pStyle w:val="paragraph"/>
        <w:spacing w:before="0" w:beforeAutospacing="0" w:after="0" w:afterAutospacing="0" w:line="276" w:lineRule="auto"/>
        <w:ind w:right="420"/>
        <w:jc w:val="both"/>
        <w:rPr>
          <w:rStyle w:val="normaltextrun"/>
          <w:rFonts w:ascii="Arial" w:eastAsiaTheme="minorEastAsia" w:hAnsi="Arial" w:cs="Arial"/>
          <w:b/>
          <w:bCs/>
          <w:sz w:val="22"/>
          <w:szCs w:val="22"/>
          <w:lang w:eastAsia="en-US"/>
        </w:rPr>
      </w:pPr>
    </w:p>
    <w:p w14:paraId="5893E57A" w14:textId="6B15A390" w:rsidR="00037872" w:rsidRPr="000F1F96" w:rsidRDefault="00C85F3E" w:rsidP="000F1F96">
      <w:pPr>
        <w:autoSpaceDE w:val="0"/>
        <w:autoSpaceDN w:val="0"/>
        <w:ind w:right="420"/>
        <w:jc w:val="both"/>
        <w:rPr>
          <w:rStyle w:val="normaltextrun"/>
          <w:rFonts w:ascii="Arial" w:eastAsia="Times New Roman" w:hAnsi="Arial" w:cs="Arial"/>
          <w:lang w:eastAsia="es-ES"/>
        </w:rPr>
      </w:pPr>
      <w:r w:rsidRPr="000F1F96">
        <w:rPr>
          <w:rFonts w:ascii="Arial" w:eastAsia="Times New Roman" w:hAnsi="Arial" w:cs="Arial"/>
          <w:lang w:eastAsia="es-ES"/>
        </w:rPr>
        <w:t>En concreto, este nuevo lanzamiento engloba tres nuevos fondos de PIMCO, gestora líder mundial en gestión activa de renta fija, con más de 3.400 empleados, 50 años de experiencia y más de $1,8 billones de activos gestionados.</w:t>
      </w:r>
      <w:r w:rsidR="00037872" w:rsidRPr="000F1F96">
        <w:rPr>
          <w:rFonts w:ascii="Arial" w:eastAsia="Times New Roman" w:hAnsi="Arial" w:cs="Arial"/>
          <w:lang w:eastAsia="es-ES"/>
        </w:rPr>
        <w:t xml:space="preserve"> Los fondos, que iniciaron su comercialización el día 12 de junio, son los siguientes: </w:t>
      </w:r>
    </w:p>
    <w:p w14:paraId="3CD75C87" w14:textId="5A74E1E1" w:rsidR="00037872" w:rsidRPr="000F1F96" w:rsidRDefault="00037872" w:rsidP="00037872">
      <w:pPr>
        <w:pStyle w:val="paragraph"/>
        <w:numPr>
          <w:ilvl w:val="0"/>
          <w:numId w:val="4"/>
        </w:numPr>
        <w:spacing w:after="0" w:line="276" w:lineRule="auto"/>
        <w:ind w:right="420"/>
        <w:jc w:val="both"/>
        <w:rPr>
          <w:rFonts w:ascii="Arial" w:hAnsi="Arial" w:cs="Arial"/>
          <w:sz w:val="22"/>
          <w:szCs w:val="22"/>
        </w:rPr>
      </w:pPr>
      <w:r w:rsidRPr="000F1F96">
        <w:rPr>
          <w:rFonts w:ascii="Arial" w:hAnsi="Arial" w:cs="Arial"/>
          <w:b/>
          <w:bCs/>
          <w:sz w:val="22"/>
          <w:szCs w:val="22"/>
        </w:rPr>
        <w:t>PIMCO Diversified Income</w:t>
      </w:r>
      <w:r w:rsidRPr="000F1F96">
        <w:rPr>
          <w:rFonts w:ascii="Arial" w:hAnsi="Arial" w:cs="Arial"/>
          <w:sz w:val="22"/>
          <w:szCs w:val="22"/>
        </w:rPr>
        <w:t>: invierte en tres bloques de activos de renta fija (RF) en igual proporción: RF de alta calidad crediticia (Investment Grade), RF de alta rentabilidad (High Yield) y RF emergente. El objetivo de inversión es ofrecer a los clientes el acceso a oportunidades de crédito globales, centrándose en la búsqueda de atractivas rentabilidades ajustadas al nivel de riesgo de los activos e identificando propuestas de valor en los distintos ciclos de mercado.</w:t>
      </w:r>
    </w:p>
    <w:p w14:paraId="52680CBF" w14:textId="45908EC6" w:rsidR="00037872" w:rsidRPr="00197214" w:rsidRDefault="00037872" w:rsidP="000F1F96">
      <w:pPr>
        <w:pStyle w:val="paragraph"/>
        <w:numPr>
          <w:ilvl w:val="0"/>
          <w:numId w:val="4"/>
        </w:numPr>
        <w:spacing w:after="0" w:line="276" w:lineRule="auto"/>
        <w:ind w:right="420"/>
        <w:jc w:val="both"/>
        <w:rPr>
          <w:rFonts w:ascii="Arial" w:hAnsi="Arial" w:cs="Arial"/>
          <w:sz w:val="22"/>
          <w:szCs w:val="22"/>
        </w:rPr>
      </w:pPr>
      <w:r w:rsidRPr="000F1F96">
        <w:rPr>
          <w:rFonts w:ascii="Arial" w:hAnsi="Arial" w:cs="Arial"/>
          <w:b/>
          <w:bCs/>
          <w:sz w:val="22"/>
          <w:szCs w:val="22"/>
        </w:rPr>
        <w:t>PIMCO Low Duration Income</w:t>
      </w:r>
      <w:r w:rsidRPr="000F1F96">
        <w:rPr>
          <w:rFonts w:ascii="Arial" w:hAnsi="Arial" w:cs="Arial"/>
          <w:sz w:val="22"/>
          <w:szCs w:val="22"/>
        </w:rPr>
        <w:t xml:space="preserve">: tiene como objetivo de inversión preservar el capital de los inversores e intentar obtener unos retornos estables en el medio y largo plazo. Lo hace a través de los cupones que recibe por la compra de valores e instrumentos de renta fija, de baja duración en mercados globales y con alta calidad. Es una estrategia de gestión flexible </w:t>
      </w:r>
      <w:r w:rsidRPr="00197214">
        <w:rPr>
          <w:rFonts w:ascii="Arial" w:hAnsi="Arial" w:cs="Arial"/>
          <w:sz w:val="22"/>
          <w:szCs w:val="22"/>
        </w:rPr>
        <w:lastRenderedPageBreak/>
        <w:t>y conservadora que busca rentabilidades atractivas en distintos sectores, regiones y diferentes entornos de tipos de interés.</w:t>
      </w:r>
    </w:p>
    <w:p w14:paraId="5549F481" w14:textId="38B1357D" w:rsidR="00C85F3E" w:rsidRPr="00197214" w:rsidRDefault="00037872" w:rsidP="00037872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sz w:val="22"/>
          <w:szCs w:val="22"/>
        </w:rPr>
      </w:pPr>
      <w:r w:rsidRPr="00197214">
        <w:rPr>
          <w:rFonts w:ascii="Arial" w:hAnsi="Arial" w:cs="Arial"/>
          <w:b/>
          <w:bCs/>
          <w:sz w:val="22"/>
          <w:szCs w:val="22"/>
        </w:rPr>
        <w:t>PIMCO Dynamic Bond</w:t>
      </w:r>
      <w:r w:rsidRPr="00197214">
        <w:rPr>
          <w:rFonts w:ascii="Arial" w:hAnsi="Arial" w:cs="Arial"/>
          <w:sz w:val="22"/>
          <w:szCs w:val="22"/>
        </w:rPr>
        <w:t>: es un fondo de gestión activa y flexible de renta fija global, cuyo objetivo es preservar el capital del inversor y maximizar la rentabilidad de sus inversiones en bonos corporativos o soberanos. La rentabilidad del fondo vendrá marcada por los bonos de duración media, pudiendo invertir en activos de alta rentabilidad y distintas divisas con un enfoque dinámico y flexible.</w:t>
      </w:r>
    </w:p>
    <w:p w14:paraId="03FEDF9B" w14:textId="3B1FF6BA" w:rsidR="00134587" w:rsidRPr="00197214" w:rsidRDefault="00134587" w:rsidP="00134587">
      <w:pPr>
        <w:pStyle w:val="Prrafodelista"/>
        <w:ind w:left="0" w:right="490"/>
        <w:jc w:val="both"/>
        <w:rPr>
          <w:rStyle w:val="normaltextrun"/>
          <w:rFonts w:eastAsia="Times New Roman" w:cs="Arial"/>
          <w:lang w:eastAsia="es-ES"/>
        </w:rPr>
      </w:pPr>
    </w:p>
    <w:p w14:paraId="45356FDC" w14:textId="7F550240" w:rsidR="005E7E0B" w:rsidRPr="00197214" w:rsidRDefault="005E7E0B" w:rsidP="000F1F96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  <w:r w:rsidRPr="00197214">
        <w:rPr>
          <w:rFonts w:eastAsia="Times New Roman" w:cs="Arial"/>
          <w:lang w:eastAsia="es-ES"/>
        </w:rPr>
        <w:t xml:space="preserve">Allianz Soluciones de Inversión gestiona, además, seis planes de pensiones cuyo volumen ronda los 300 millones de euros. Entre planes de pensiones y fondos de inversión los activos gestionados por Allianz Soluciones de Inversión </w:t>
      </w:r>
      <w:r w:rsidR="004353A4" w:rsidRPr="00197214">
        <w:rPr>
          <w:rFonts w:eastAsia="Times New Roman" w:cs="Arial"/>
          <w:lang w:eastAsia="es-ES"/>
        </w:rPr>
        <w:t>superan</w:t>
      </w:r>
      <w:r w:rsidRPr="00197214">
        <w:rPr>
          <w:rFonts w:eastAsia="Times New Roman" w:cs="Arial"/>
          <w:lang w:eastAsia="es-ES"/>
        </w:rPr>
        <w:t xml:space="preserve"> en la actualidad los 500 millones de euros.</w:t>
      </w:r>
    </w:p>
    <w:p w14:paraId="2E1130FA" w14:textId="636F1A8E" w:rsidR="005E7E0B" w:rsidRPr="00197214" w:rsidRDefault="005E7E0B" w:rsidP="005E7E0B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</w:p>
    <w:p w14:paraId="46CAD1B5" w14:textId="3B80F3E1" w:rsidR="005E7E0B" w:rsidRPr="00197214" w:rsidRDefault="005E7E0B" w:rsidP="000F1F96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  <w:r w:rsidRPr="00197214">
        <w:rPr>
          <w:rFonts w:eastAsia="Times New Roman" w:cs="Arial"/>
          <w:lang w:eastAsia="es-ES"/>
        </w:rPr>
        <w:t>De los cinco fondos que Allianz Soluciones de Inversión comenzó a tramitar en  marzo de 2020, cuatro de ellos fueron calificados por Morningstar</w:t>
      </w:r>
      <w:r w:rsidR="00EB76F6" w:rsidRPr="00197214">
        <w:rPr>
          <w:rFonts w:eastAsia="Times New Roman" w:cs="Arial"/>
          <w:lang w:eastAsia="es-ES"/>
        </w:rPr>
        <w:t xml:space="preserve"> con cinco estrellas</w:t>
      </w:r>
      <w:r w:rsidRPr="00197214">
        <w:rPr>
          <w:rFonts w:eastAsia="Times New Roman" w:cs="Arial"/>
          <w:lang w:eastAsia="es-ES"/>
        </w:rPr>
        <w:t xml:space="preserve"> </w:t>
      </w:r>
      <w:r w:rsidRPr="00197214">
        <w:rPr>
          <w:rFonts w:eastAsia="Times New Roman" w:cs="Arial"/>
          <w:b/>
          <w:bCs/>
          <w:lang w:eastAsia="es-ES"/>
        </w:rPr>
        <w:t>en sus primeros tres años de actividad.</w:t>
      </w:r>
      <w:r w:rsidR="00EB76F6" w:rsidRPr="00197214">
        <w:rPr>
          <w:rFonts w:eastAsia="Times New Roman" w:cs="Arial"/>
          <w:lang w:eastAsia="es-ES"/>
        </w:rPr>
        <w:t xml:space="preserve"> </w:t>
      </w:r>
      <w:r w:rsidRPr="00197214">
        <w:rPr>
          <w:rFonts w:eastAsia="Times New Roman" w:cs="Arial"/>
          <w:lang w:eastAsia="es-ES"/>
        </w:rPr>
        <w:t xml:space="preserve">Entre los productos financieros </w:t>
      </w:r>
      <w:r w:rsidR="00170A42" w:rsidRPr="00197214">
        <w:rPr>
          <w:rFonts w:eastAsia="Times New Roman" w:cs="Arial"/>
          <w:lang w:eastAsia="es-ES"/>
        </w:rPr>
        <w:t xml:space="preserve">que fueron </w:t>
      </w:r>
      <w:r w:rsidRPr="00197214">
        <w:rPr>
          <w:rFonts w:eastAsia="Times New Roman" w:cs="Arial"/>
          <w:lang w:eastAsia="es-ES"/>
        </w:rPr>
        <w:t xml:space="preserve">calificados con </w:t>
      </w:r>
      <w:r w:rsidRPr="00197214">
        <w:rPr>
          <w:rFonts w:eastAsia="Times New Roman" w:cs="Arial"/>
          <w:b/>
          <w:bCs/>
          <w:lang w:eastAsia="es-ES"/>
        </w:rPr>
        <w:t>cinco estrellas por Morningstar</w:t>
      </w:r>
      <w:r w:rsidRPr="00197214">
        <w:rPr>
          <w:rFonts w:eastAsia="Times New Roman" w:cs="Arial"/>
          <w:lang w:eastAsia="es-ES"/>
        </w:rPr>
        <w:t xml:space="preserve"> se encuentran el Allianz Cartera Dinámica (50%-100% renta variable), un fondo perfilado cuya rentabilidad acumulada es del </w:t>
      </w:r>
      <w:r w:rsidR="004353A4" w:rsidRPr="00197214">
        <w:rPr>
          <w:rFonts w:eastAsia="Times New Roman" w:cs="Arial"/>
          <w:lang w:eastAsia="es-ES"/>
        </w:rPr>
        <w:t>34</w:t>
      </w:r>
      <w:r w:rsidRPr="00197214">
        <w:rPr>
          <w:rFonts w:eastAsia="Times New Roman" w:cs="Arial"/>
          <w:lang w:eastAsia="es-ES"/>
        </w:rPr>
        <w:t>,</w:t>
      </w:r>
      <w:r w:rsidR="004353A4" w:rsidRPr="00197214">
        <w:rPr>
          <w:rFonts w:eastAsia="Times New Roman" w:cs="Arial"/>
          <w:lang w:eastAsia="es-ES"/>
        </w:rPr>
        <w:t>45</w:t>
      </w:r>
      <w:r w:rsidRPr="00197214">
        <w:rPr>
          <w:rFonts w:eastAsia="Times New Roman" w:cs="Arial"/>
          <w:lang w:eastAsia="es-ES"/>
        </w:rPr>
        <w:t xml:space="preserve">% o el Allianz Bolsa Española cuya rentabilidad acumulada se cifra en un </w:t>
      </w:r>
      <w:r w:rsidR="004353A4" w:rsidRPr="00197214">
        <w:rPr>
          <w:rFonts w:eastAsia="Times New Roman" w:cs="Arial"/>
          <w:lang w:eastAsia="es-ES"/>
        </w:rPr>
        <w:t>33</w:t>
      </w:r>
      <w:r w:rsidRPr="00197214">
        <w:rPr>
          <w:rFonts w:eastAsia="Times New Roman" w:cs="Arial"/>
          <w:lang w:eastAsia="es-ES"/>
        </w:rPr>
        <w:t>,</w:t>
      </w:r>
      <w:r w:rsidR="004353A4" w:rsidRPr="00197214">
        <w:rPr>
          <w:rFonts w:eastAsia="Times New Roman" w:cs="Arial"/>
          <w:lang w:eastAsia="es-ES"/>
        </w:rPr>
        <w:t>3</w:t>
      </w:r>
      <w:r w:rsidRPr="00197214">
        <w:rPr>
          <w:rFonts w:eastAsia="Times New Roman" w:cs="Arial"/>
          <w:lang w:eastAsia="es-ES"/>
        </w:rPr>
        <w:t>2%. Junto a estos dos productos han obtenido también la máxima puntuación en este ranking, el fondo Allianz Cartera Moderada (15%-30% renta variable) y Allianz Cartera Decidida (30%-50% renta variable).</w:t>
      </w:r>
    </w:p>
    <w:p w14:paraId="385A9BE5" w14:textId="77777777" w:rsidR="005E7E0B" w:rsidRPr="00197214" w:rsidRDefault="005E7E0B" w:rsidP="000F1F96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</w:p>
    <w:p w14:paraId="6490A96E" w14:textId="77777777" w:rsidR="005E7E0B" w:rsidRPr="00197214" w:rsidRDefault="005E7E0B" w:rsidP="000F1F96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  <w:r w:rsidRPr="00197214">
        <w:rPr>
          <w:rFonts w:eastAsia="Times New Roman" w:cs="Arial"/>
          <w:lang w:eastAsia="es-ES"/>
        </w:rPr>
        <w:t>Con los productos de Allianz Soluciones de Inversión, Allianz Seguros ofrece a sus clientes una cartera completa de productos con el objetivo de convertirse en un actor relevante en la gestión del ahorro de los ciudadanos. Así, además de fondos de inversión y planes de pensiones, ofrece seguros unit linked, productos de ahorro a largo plazo o productos de decesos.</w:t>
      </w:r>
    </w:p>
    <w:p w14:paraId="0ED6BFDB" w14:textId="77777777" w:rsidR="005E7E0B" w:rsidRPr="00197214" w:rsidRDefault="005E7E0B" w:rsidP="00134587">
      <w:pPr>
        <w:pStyle w:val="Prrafodelista"/>
        <w:ind w:left="0" w:right="490"/>
        <w:jc w:val="both"/>
        <w:rPr>
          <w:rFonts w:eastAsia="Times New Roman" w:cs="Arial"/>
          <w:lang w:eastAsia="es-ES"/>
        </w:rPr>
      </w:pPr>
    </w:p>
    <w:p w14:paraId="7C52DF42" w14:textId="77777777" w:rsidR="00EB76F6" w:rsidRPr="00EB76F6" w:rsidRDefault="00EB76F6" w:rsidP="00EB76F6">
      <w:pPr>
        <w:spacing w:after="0" w:line="240" w:lineRule="auto"/>
        <w:ind w:right="348"/>
        <w:jc w:val="both"/>
        <w:rPr>
          <w:rFonts w:ascii="Arial" w:eastAsia="Times New Roman" w:hAnsi="Arial" w:cs="Times New Roman"/>
          <w:lang w:eastAsia="de-DE"/>
        </w:rPr>
      </w:pPr>
    </w:p>
    <w:p w14:paraId="124BD5B9" w14:textId="77777777" w:rsidR="00EB76F6" w:rsidRPr="00EB76F6" w:rsidRDefault="00EB76F6" w:rsidP="00EB76F6">
      <w:pPr>
        <w:spacing w:after="0" w:line="240" w:lineRule="auto"/>
        <w:ind w:right="348"/>
        <w:jc w:val="both"/>
        <w:rPr>
          <w:rFonts w:ascii="Arial" w:eastAsia="Times New Roman" w:hAnsi="Arial" w:cs="Times New Roman"/>
          <w:b/>
          <w:lang w:eastAsia="de-DE"/>
        </w:rPr>
      </w:pPr>
      <w:r w:rsidRPr="00EB76F6">
        <w:rPr>
          <w:rFonts w:ascii="Arial" w:eastAsia="Times New Roman" w:hAnsi="Arial" w:cs="Times New Roman"/>
          <w:b/>
          <w:lang w:eastAsia="de-DE"/>
        </w:rPr>
        <w:t>Sobre Allianz Seguros</w:t>
      </w:r>
    </w:p>
    <w:p w14:paraId="0252DFAB" w14:textId="77777777" w:rsidR="00EB76F6" w:rsidRPr="00EB76F6" w:rsidRDefault="00EB76F6" w:rsidP="00EB76F6">
      <w:pPr>
        <w:spacing w:after="0" w:line="240" w:lineRule="auto"/>
        <w:ind w:right="348"/>
        <w:jc w:val="both"/>
        <w:rPr>
          <w:rFonts w:ascii="Arial" w:eastAsia="Times New Roman" w:hAnsi="Arial" w:cs="Times New Roman"/>
          <w:b/>
          <w:lang w:eastAsia="de-DE"/>
        </w:rPr>
      </w:pPr>
    </w:p>
    <w:p w14:paraId="405B6535" w14:textId="77777777" w:rsidR="00EB76F6" w:rsidRPr="00EB76F6" w:rsidRDefault="00EB76F6" w:rsidP="00A31C83">
      <w:pPr>
        <w:spacing w:after="0" w:line="276" w:lineRule="auto"/>
        <w:ind w:right="348"/>
        <w:jc w:val="both"/>
        <w:rPr>
          <w:rFonts w:ascii="Arial" w:eastAsia="Times New Roman" w:hAnsi="Arial" w:cs="Times New Roman"/>
          <w:bCs/>
          <w:lang w:eastAsia="de-DE"/>
        </w:rPr>
      </w:pPr>
      <w:r w:rsidRPr="00EB76F6">
        <w:rPr>
          <w:rFonts w:ascii="Arial" w:eastAsia="Times New Roman" w:hAnsi="Arial" w:cs="Times New Roman"/>
          <w:bCs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0D46840B" w14:textId="77777777" w:rsidR="00EB76F6" w:rsidRPr="00EB76F6" w:rsidRDefault="00EB76F6" w:rsidP="00A31C83">
      <w:pPr>
        <w:spacing w:after="0" w:line="276" w:lineRule="auto"/>
        <w:ind w:right="348"/>
        <w:jc w:val="both"/>
        <w:rPr>
          <w:rFonts w:ascii="Arial" w:eastAsia="Times New Roman" w:hAnsi="Arial" w:cs="Times New Roman"/>
          <w:bCs/>
          <w:lang w:eastAsia="de-DE"/>
        </w:rPr>
      </w:pPr>
    </w:p>
    <w:p w14:paraId="65443FAF" w14:textId="77777777" w:rsidR="00EB76F6" w:rsidRPr="00EB76F6" w:rsidRDefault="00EB76F6" w:rsidP="00A31C83">
      <w:pPr>
        <w:spacing w:after="0" w:line="276" w:lineRule="auto"/>
        <w:ind w:right="348"/>
        <w:jc w:val="both"/>
        <w:rPr>
          <w:rFonts w:ascii="Arial" w:eastAsia="Times New Roman" w:hAnsi="Arial" w:cs="Times New Roman"/>
          <w:bCs/>
          <w:lang w:eastAsia="de-DE"/>
        </w:rPr>
      </w:pPr>
      <w:r w:rsidRPr="00EB76F6">
        <w:rPr>
          <w:rFonts w:ascii="Arial" w:eastAsia="Times New Roman" w:hAnsi="Arial" w:cs="Times New Roman"/>
          <w:bCs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</w:t>
      </w:r>
      <w:r w:rsidRPr="00EB76F6">
        <w:rPr>
          <w:rFonts w:ascii="Arial" w:eastAsia="Times New Roman" w:hAnsi="Arial" w:cs="Times New Roman"/>
          <w:bCs/>
          <w:lang w:eastAsia="de-DE"/>
        </w:rPr>
        <w:lastRenderedPageBreak/>
        <w:t>pasando por Multirriesgos para empresas y comercios, hasta las soluciones aseguradoras personalizadas más complejas.</w:t>
      </w:r>
    </w:p>
    <w:p w14:paraId="064C046E" w14:textId="77777777" w:rsidR="00EB76F6" w:rsidRPr="00EB76F6" w:rsidRDefault="00EB76F6" w:rsidP="00EB76F6">
      <w:pPr>
        <w:spacing w:after="0" w:line="240" w:lineRule="auto"/>
        <w:ind w:right="348"/>
        <w:jc w:val="both"/>
        <w:rPr>
          <w:rFonts w:ascii="Arial" w:eastAsia="Times New Roman" w:hAnsi="Arial" w:cs="Times New Roman"/>
          <w:b/>
          <w:lang w:eastAsia="de-DE"/>
        </w:rPr>
      </w:pPr>
    </w:p>
    <w:p w14:paraId="2D5299FF" w14:textId="77777777" w:rsidR="00EB76F6" w:rsidRPr="00EB76F6" w:rsidRDefault="00EB76F6" w:rsidP="00EB76F6">
      <w:pPr>
        <w:spacing w:after="0" w:line="240" w:lineRule="auto"/>
        <w:rPr>
          <w:rFonts w:ascii="Arial" w:eastAsia="Times New Roman" w:hAnsi="Arial" w:cs="Times New Roman"/>
          <w:lang w:val="es-ES_tradnl" w:eastAsia="de-DE"/>
        </w:rPr>
      </w:pPr>
    </w:p>
    <w:p w14:paraId="54EAA1A7" w14:textId="77777777" w:rsidR="00EB76F6" w:rsidRPr="00EB76F6" w:rsidRDefault="00EB76F6" w:rsidP="00EB76F6">
      <w:pPr>
        <w:pBdr>
          <w:bottom w:val="single" w:sz="6" w:space="1" w:color="auto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Times New Roman" w:hAnsi="Arial" w:cs="Times New Roman"/>
          <w:b/>
          <w:lang w:val="es-ES_tradnl" w:eastAsia="de-DE"/>
        </w:rPr>
      </w:pPr>
      <w:r w:rsidRPr="00EB76F6">
        <w:rPr>
          <w:rFonts w:ascii="Arial" w:eastAsia="Times New Roman" w:hAnsi="Arial" w:cs="Times New Roman"/>
          <w:lang w:val="es-ES_tradnl" w:eastAsia="de-DE"/>
        </w:rPr>
        <w:t>Para más información:</w:t>
      </w:r>
    </w:p>
    <w:p w14:paraId="48487196" w14:textId="77777777" w:rsidR="00EB76F6" w:rsidRPr="00EB76F6" w:rsidRDefault="00EB76F6" w:rsidP="00EB76F6">
      <w:pPr>
        <w:keepNext/>
        <w:pBdr>
          <w:bottom w:val="single" w:sz="6" w:space="1" w:color="auto"/>
        </w:pBdr>
        <w:spacing w:after="0" w:line="240" w:lineRule="auto"/>
        <w:ind w:right="1418"/>
        <w:jc w:val="both"/>
        <w:outlineLvl w:val="3"/>
        <w:rPr>
          <w:rFonts w:ascii="Arial" w:eastAsia="Times New Roman" w:hAnsi="Arial" w:cs="Times New Roman"/>
          <w:lang w:val="es-ES_tradnl" w:eastAsia="es-ES"/>
        </w:rPr>
      </w:pPr>
      <w:r w:rsidRPr="00EB76F6">
        <w:rPr>
          <w:rFonts w:ascii="Arial" w:eastAsia="Times New Roman" w:hAnsi="Arial" w:cs="Times New Roman"/>
          <w:lang w:val="es-ES_tradnl" w:eastAsia="es-ES"/>
        </w:rPr>
        <w:t>Sonia Rodríguez</w:t>
      </w:r>
      <w:r w:rsidRPr="00EB76F6">
        <w:rPr>
          <w:rFonts w:ascii="Arial" w:eastAsia="Times New Roman" w:hAnsi="Arial" w:cs="Times New Roman"/>
          <w:lang w:val="es-ES_tradnl" w:eastAsia="es-ES"/>
        </w:rPr>
        <w:tab/>
      </w:r>
      <w:r w:rsidRPr="00EB76F6">
        <w:rPr>
          <w:rFonts w:ascii="Arial" w:eastAsia="Times New Roman" w:hAnsi="Arial" w:cs="Times New Roman"/>
          <w:lang w:val="es-ES_tradnl" w:eastAsia="es-ES"/>
        </w:rPr>
        <w:tab/>
        <w:t>Tel. 91.596.00.66</w:t>
      </w:r>
    </w:p>
    <w:p w14:paraId="1E3A733E" w14:textId="77777777" w:rsidR="00EB76F6" w:rsidRPr="00EB76F6" w:rsidRDefault="00EB76F6" w:rsidP="00EB76F6">
      <w:pPr>
        <w:keepNext/>
        <w:pBdr>
          <w:bottom w:val="single" w:sz="6" w:space="1" w:color="auto"/>
        </w:pBdr>
        <w:spacing w:after="0" w:line="240" w:lineRule="auto"/>
        <w:ind w:right="1418"/>
        <w:jc w:val="both"/>
        <w:outlineLvl w:val="3"/>
        <w:rPr>
          <w:rFonts w:ascii="Arial" w:eastAsia="Times New Roman" w:hAnsi="Arial" w:cs="Times New Roman"/>
          <w:lang w:val="es-ES_tradnl" w:eastAsia="es-ES"/>
        </w:rPr>
      </w:pPr>
      <w:r w:rsidRPr="00EB76F6">
        <w:rPr>
          <w:rFonts w:ascii="Arial" w:eastAsia="Times New Roman" w:hAnsi="Arial" w:cs="Times New Roman"/>
          <w:lang w:val="es-ES_tradnl" w:eastAsia="es-ES"/>
        </w:rPr>
        <w:t xml:space="preserve">Laura Gallach </w:t>
      </w:r>
      <w:r w:rsidRPr="00EB76F6">
        <w:rPr>
          <w:rFonts w:ascii="Arial" w:eastAsia="Times New Roman" w:hAnsi="Arial" w:cs="Times New Roman"/>
          <w:lang w:val="es-ES_tradnl" w:eastAsia="es-ES"/>
        </w:rPr>
        <w:tab/>
      </w:r>
      <w:r w:rsidRPr="00EB76F6">
        <w:rPr>
          <w:rFonts w:ascii="Arial" w:eastAsia="Times New Roman" w:hAnsi="Arial" w:cs="Times New Roman"/>
          <w:lang w:val="es-ES_tradnl" w:eastAsia="es-ES"/>
        </w:rPr>
        <w:tab/>
        <w:t>Tel. 93.228.67.83</w:t>
      </w:r>
    </w:p>
    <w:p w14:paraId="4363CCA4" w14:textId="77777777" w:rsidR="00EB76F6" w:rsidRPr="00EB76F6" w:rsidRDefault="00EB76F6" w:rsidP="00EB76F6">
      <w:pPr>
        <w:spacing w:after="0" w:line="240" w:lineRule="auto"/>
        <w:rPr>
          <w:rFonts w:ascii="Arial" w:eastAsia="Times New Roman" w:hAnsi="Arial" w:cs="Times New Roman"/>
          <w:lang w:val="es-ES_tradnl" w:eastAsia="es-ES"/>
        </w:rPr>
      </w:pPr>
    </w:p>
    <w:p w14:paraId="66AE957B" w14:textId="77777777" w:rsidR="00EB76F6" w:rsidRPr="00EB76F6" w:rsidRDefault="00EB76F6" w:rsidP="00EB76F6">
      <w:pPr>
        <w:spacing w:after="0" w:line="240" w:lineRule="auto"/>
        <w:ind w:right="425"/>
        <w:jc w:val="both"/>
        <w:rPr>
          <w:rFonts w:ascii="Times New (W1)" w:eastAsia="Times New Roman" w:hAnsi="Times New (W1)" w:cs="Times New Roman"/>
          <w:sz w:val="24"/>
          <w:szCs w:val="24"/>
          <w:lang w:val="es-ES_tradnl" w:eastAsia="de-DE"/>
        </w:rPr>
      </w:pPr>
    </w:p>
    <w:p w14:paraId="52A96AB8" w14:textId="77777777" w:rsidR="00EB76F6" w:rsidRPr="00EB76F6" w:rsidRDefault="00EB76F6" w:rsidP="00EB76F6">
      <w:pPr>
        <w:spacing w:after="0" w:line="240" w:lineRule="auto"/>
        <w:ind w:right="141"/>
        <w:rPr>
          <w:rFonts w:ascii="Arial" w:eastAsia="Times New Roman" w:hAnsi="Arial" w:cs="Times New Roman"/>
          <w:b/>
          <w:i/>
          <w:color w:val="0000FF"/>
          <w:sz w:val="18"/>
          <w:u w:val="single"/>
          <w:lang w:val="es-ES_tradnl" w:eastAsia="de-DE"/>
        </w:rPr>
      </w:pP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t xml:space="preserve">Estas aseveraciones quedan, como siempre, sujetas a la siguiente </w:t>
      </w: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begin"/>
      </w: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instrText xml:space="preserve"> HYPERLINK "https://www.allianz.es/descubre-allianz/actualidad/enlaces-de-interes" </w:instrText>
      </w: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separate"/>
      </w:r>
      <w:r w:rsidRPr="00EB76F6">
        <w:rPr>
          <w:rFonts w:ascii="Times New (W1)" w:eastAsia="Times New Roman" w:hAnsi="Times New (W1)" w:cs="Times New Roman"/>
          <w:b/>
          <w:color w:val="0000FF"/>
          <w:sz w:val="18"/>
          <w:u w:val="single"/>
          <w:lang w:val="es-ES_tradnl" w:eastAsia="de-DE"/>
        </w:rPr>
        <w:t>nota preventiva.</w:t>
      </w:r>
    </w:p>
    <w:p w14:paraId="48700948" w14:textId="77777777" w:rsidR="00EB76F6" w:rsidRPr="00EB76F6" w:rsidRDefault="00EB76F6" w:rsidP="00EB76F6">
      <w:pPr>
        <w:spacing w:after="0" w:line="240" w:lineRule="auto"/>
        <w:ind w:right="141"/>
        <w:rPr>
          <w:rFonts w:ascii="Times New (W1)" w:eastAsia="Times New Roman" w:hAnsi="Times New (W1)" w:cs="Times New Roman"/>
          <w:b/>
          <w:sz w:val="18"/>
          <w:lang w:val="es-ES_tradnl" w:eastAsia="de-DE"/>
        </w:rPr>
      </w:pP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end"/>
      </w:r>
      <w:r w:rsidRPr="00EB76F6">
        <w:rPr>
          <w:rFonts w:ascii="Times New (W1)" w:eastAsia="Times New Roman" w:hAnsi="Times New (W1)" w:cs="Times New Roman"/>
          <w:b/>
          <w:sz w:val="18"/>
          <w:lang w:val="es-ES_tradnl" w:eastAsia="de-DE"/>
        </w:rPr>
        <w:t xml:space="preserve"> </w:t>
      </w:r>
    </w:p>
    <w:p w14:paraId="468B6A96" w14:textId="77777777" w:rsidR="006119A3" w:rsidRPr="009D3D83" w:rsidRDefault="006119A3" w:rsidP="00EB76F6">
      <w:pPr>
        <w:spacing w:after="200" w:line="276" w:lineRule="auto"/>
        <w:ind w:right="348"/>
        <w:jc w:val="both"/>
        <w:rPr>
          <w:lang w:val="es-ES_tradnl"/>
        </w:rPr>
      </w:pPr>
    </w:p>
    <w:sectPr w:rsidR="006119A3" w:rsidRPr="009D3D83" w:rsidSect="000F1F96">
      <w:headerReference w:type="default" r:id="rId11"/>
      <w:headerReference w:type="first" r:id="rId12"/>
      <w:pgSz w:w="11906" w:h="16838"/>
      <w:pgMar w:top="1417" w:right="184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223E" w14:textId="77777777" w:rsidR="00D85880" w:rsidRDefault="00D85880" w:rsidP="000C0C6E">
      <w:pPr>
        <w:spacing w:after="0" w:line="240" w:lineRule="auto"/>
      </w:pPr>
      <w:r>
        <w:separator/>
      </w:r>
    </w:p>
  </w:endnote>
  <w:endnote w:type="continuationSeparator" w:id="0">
    <w:p w14:paraId="197C59C6" w14:textId="77777777" w:rsidR="00D85880" w:rsidRDefault="00D85880" w:rsidP="000C0C6E">
      <w:pPr>
        <w:spacing w:after="0" w:line="240" w:lineRule="auto"/>
      </w:pPr>
      <w:r>
        <w:continuationSeparator/>
      </w:r>
    </w:p>
  </w:endnote>
  <w:endnote w:type="continuationNotice" w:id="1">
    <w:p w14:paraId="7BEDAC1C" w14:textId="77777777" w:rsidR="00D85880" w:rsidRDefault="00D85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4EC2" w14:textId="77777777" w:rsidR="00D85880" w:rsidRDefault="00D85880" w:rsidP="000C0C6E">
      <w:pPr>
        <w:spacing w:after="0" w:line="240" w:lineRule="auto"/>
      </w:pPr>
      <w:r>
        <w:separator/>
      </w:r>
    </w:p>
  </w:footnote>
  <w:footnote w:type="continuationSeparator" w:id="0">
    <w:p w14:paraId="7E6393F0" w14:textId="77777777" w:rsidR="00D85880" w:rsidRDefault="00D85880" w:rsidP="000C0C6E">
      <w:pPr>
        <w:spacing w:after="0" w:line="240" w:lineRule="auto"/>
      </w:pPr>
      <w:r>
        <w:continuationSeparator/>
      </w:r>
    </w:p>
  </w:footnote>
  <w:footnote w:type="continuationNotice" w:id="1">
    <w:p w14:paraId="29FD99D7" w14:textId="77777777" w:rsidR="00D85880" w:rsidRDefault="00D85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A46C" w14:textId="7CE2CDC4" w:rsidR="0009323F" w:rsidRDefault="00A31C8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3FCD111" wp14:editId="55F284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596f45b3ac67bc220c40d58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C5951F" w14:textId="0F040D68" w:rsidR="00A31C83" w:rsidRPr="00A31C83" w:rsidRDefault="00A31C83" w:rsidP="00A31C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31C8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CD111" id="_x0000_t202" coordsize="21600,21600" o:spt="202" path="m,l,21600r21600,l21600,xe">
              <v:stroke joinstyle="miter"/>
              <v:path gradientshapeok="t" o:connecttype="rect"/>
            </v:shapetype>
            <v:shape id="MSIPCM596f45b3ac67bc220c40d58a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9C5951F" w14:textId="0F040D68" w:rsidR="00A31C83" w:rsidRPr="00A31C83" w:rsidRDefault="00A31C83" w:rsidP="00A31C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31C8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CBB6" w14:textId="3E4C5238" w:rsidR="00A8471C" w:rsidRPr="004947E4" w:rsidRDefault="00A8471C" w:rsidP="00A8471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28"/>
        <w:szCs w:val="28"/>
        <w:lang w:eastAsia="de-DE"/>
      </w:rPr>
    </w:pPr>
    <w:r>
      <w:rPr>
        <w:rFonts w:ascii="Arial" w:eastAsia="Times New Roman" w:hAnsi="Arial" w:cs="Times New Roman"/>
        <w:b/>
        <w:noProof/>
        <w:color w:val="000080"/>
        <w:sz w:val="28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FAF48E" wp14:editId="774E9D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f524ba9b09628b379e32d3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F94D6D" w14:textId="46DEF712" w:rsidR="00A8471C" w:rsidRPr="00A8471C" w:rsidRDefault="00A8471C" w:rsidP="00A8471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847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AF48E" id="_x0000_t202" coordsize="21600,21600" o:spt="202" path="m,l,21600r21600,l21600,xe">
              <v:stroke joinstyle="miter"/>
              <v:path gradientshapeok="t" o:connecttype="rect"/>
            </v:shapetype>
            <v:shape id="MSIPCMff524ba9b09628b379e32d3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29F94D6D" w14:textId="46DEF712" w:rsidR="00A8471C" w:rsidRPr="00A8471C" w:rsidRDefault="00A8471C" w:rsidP="00A8471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8471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947E4">
      <w:rPr>
        <w:rFonts w:ascii="Arial" w:eastAsia="Times New Roman" w:hAnsi="Arial" w:cs="Times New Roman"/>
        <w:b/>
        <w:noProof/>
        <w:color w:val="000080"/>
        <w:sz w:val="28"/>
        <w:lang w:eastAsia="de-DE"/>
      </w:rPr>
      <w:drawing>
        <wp:inline distT="0" distB="0" distL="0" distR="0" wp14:anchorId="1F9215BC" wp14:editId="425892AE">
          <wp:extent cx="1638300" cy="4000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FE4BA" w14:textId="77777777" w:rsidR="00A8471C" w:rsidRPr="004947E4" w:rsidRDefault="00A8471C" w:rsidP="00A8471C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549684B7" w14:textId="77777777" w:rsidR="00A8471C" w:rsidRPr="004947E4" w:rsidRDefault="00A8471C" w:rsidP="00A8471C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2D6E55D2" w14:textId="77777777" w:rsidR="00A8471C" w:rsidRPr="004947E4" w:rsidRDefault="00A8471C" w:rsidP="00A8471C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  <w:r w:rsidRPr="004947E4"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  <w:t>Allianz Seguros</w:t>
    </w:r>
  </w:p>
  <w:p w14:paraId="7CDF1DFF" w14:textId="77777777" w:rsidR="00A8471C" w:rsidRPr="004947E4" w:rsidRDefault="00A8471C" w:rsidP="00A8471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0"/>
        <w:szCs w:val="10"/>
        <w:lang w:eastAsia="de-DE"/>
      </w:rPr>
    </w:pPr>
  </w:p>
  <w:p w14:paraId="168EAF22" w14:textId="77777777" w:rsidR="00A8471C" w:rsidRPr="004947E4" w:rsidRDefault="00A8471C" w:rsidP="00A8471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4947E4">
      <w:rPr>
        <w:rFonts w:ascii="Arial" w:eastAsia="Times New Roman" w:hAnsi="Arial" w:cs="Times New Roman"/>
        <w:sz w:val="20"/>
        <w:szCs w:val="20"/>
        <w:lang w:eastAsia="de-DE"/>
      </w:rPr>
      <w:t>Comunicación Corporativa</w:t>
    </w:r>
  </w:p>
  <w:p w14:paraId="7AE1699D" w14:textId="77777777" w:rsidR="00A8471C" w:rsidRPr="004947E4" w:rsidRDefault="00A8471C" w:rsidP="00A8471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40"/>
        <w:szCs w:val="40"/>
        <w:lang w:eastAsia="de-DE"/>
      </w:rPr>
    </w:pPr>
  </w:p>
  <w:p w14:paraId="349DAA11" w14:textId="77777777" w:rsidR="00A8471C" w:rsidRPr="004947E4" w:rsidRDefault="00A8471C" w:rsidP="00A8471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color w:val="7F7F7F"/>
        <w:sz w:val="44"/>
        <w:szCs w:val="44"/>
        <w:lang w:eastAsia="de-DE"/>
      </w:rPr>
    </w:pPr>
    <w:r w:rsidRPr="004947E4">
      <w:rPr>
        <w:rFonts w:ascii="Arial" w:eastAsia="Times New Roman" w:hAnsi="Arial" w:cs="Times New Roman"/>
        <w:color w:val="7F7F7F"/>
        <w:sz w:val="44"/>
        <w:szCs w:val="44"/>
        <w:lang w:eastAsia="de-DE"/>
      </w:rPr>
      <w:t>Nota de Prensa</w:t>
    </w:r>
  </w:p>
  <w:p w14:paraId="02E0CAC7" w14:textId="77777777" w:rsidR="00A8471C" w:rsidRDefault="00A847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816"/>
    <w:multiLevelType w:val="hybridMultilevel"/>
    <w:tmpl w:val="D480D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D79"/>
    <w:multiLevelType w:val="multilevel"/>
    <w:tmpl w:val="A6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2354C"/>
    <w:multiLevelType w:val="hybridMultilevel"/>
    <w:tmpl w:val="095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A2"/>
    <w:multiLevelType w:val="hybridMultilevel"/>
    <w:tmpl w:val="8686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7578">
    <w:abstractNumId w:val="1"/>
  </w:num>
  <w:num w:numId="2" w16cid:durableId="1557089218">
    <w:abstractNumId w:val="3"/>
  </w:num>
  <w:num w:numId="3" w16cid:durableId="267927058">
    <w:abstractNumId w:val="2"/>
  </w:num>
  <w:num w:numId="4" w16cid:durableId="105488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6E"/>
    <w:rsid w:val="00000E96"/>
    <w:rsid w:val="00022500"/>
    <w:rsid w:val="0003194F"/>
    <w:rsid w:val="00037872"/>
    <w:rsid w:val="00054FC4"/>
    <w:rsid w:val="000724CB"/>
    <w:rsid w:val="00077122"/>
    <w:rsid w:val="00084FDD"/>
    <w:rsid w:val="0009323F"/>
    <w:rsid w:val="000C0C6E"/>
    <w:rsid w:val="000C2915"/>
    <w:rsid w:val="000E6A7A"/>
    <w:rsid w:val="000F1F96"/>
    <w:rsid w:val="00103BD4"/>
    <w:rsid w:val="00112E4B"/>
    <w:rsid w:val="00126EB2"/>
    <w:rsid w:val="00133505"/>
    <w:rsid w:val="00133DA1"/>
    <w:rsid w:val="00134500"/>
    <w:rsid w:val="00134587"/>
    <w:rsid w:val="00160AE7"/>
    <w:rsid w:val="00170A42"/>
    <w:rsid w:val="00197214"/>
    <w:rsid w:val="001A0413"/>
    <w:rsid w:val="001C09BB"/>
    <w:rsid w:val="001C21A3"/>
    <w:rsid w:val="00217867"/>
    <w:rsid w:val="0022121A"/>
    <w:rsid w:val="00226CC3"/>
    <w:rsid w:val="002366DB"/>
    <w:rsid w:val="00264C1C"/>
    <w:rsid w:val="002A2828"/>
    <w:rsid w:val="002A503E"/>
    <w:rsid w:val="002A73D1"/>
    <w:rsid w:val="002B2C68"/>
    <w:rsid w:val="002E789F"/>
    <w:rsid w:val="00331E6C"/>
    <w:rsid w:val="003346FF"/>
    <w:rsid w:val="003576CA"/>
    <w:rsid w:val="0038588D"/>
    <w:rsid w:val="003C4D17"/>
    <w:rsid w:val="003C4E9D"/>
    <w:rsid w:val="003D7A40"/>
    <w:rsid w:val="003F069F"/>
    <w:rsid w:val="00402CB4"/>
    <w:rsid w:val="00417890"/>
    <w:rsid w:val="00425C45"/>
    <w:rsid w:val="004353A4"/>
    <w:rsid w:val="004401DE"/>
    <w:rsid w:val="00446C75"/>
    <w:rsid w:val="00454760"/>
    <w:rsid w:val="0046553E"/>
    <w:rsid w:val="00466AD9"/>
    <w:rsid w:val="00471E2E"/>
    <w:rsid w:val="00481FBF"/>
    <w:rsid w:val="004947E4"/>
    <w:rsid w:val="004A6875"/>
    <w:rsid w:val="004B2B37"/>
    <w:rsid w:val="004B4ED9"/>
    <w:rsid w:val="004C1D00"/>
    <w:rsid w:val="004D693D"/>
    <w:rsid w:val="004E22A1"/>
    <w:rsid w:val="00500479"/>
    <w:rsid w:val="0051646D"/>
    <w:rsid w:val="00540EE9"/>
    <w:rsid w:val="00541A43"/>
    <w:rsid w:val="00543365"/>
    <w:rsid w:val="00544DBE"/>
    <w:rsid w:val="005719F8"/>
    <w:rsid w:val="005A430C"/>
    <w:rsid w:val="005C3F81"/>
    <w:rsid w:val="005D354D"/>
    <w:rsid w:val="005D7AB7"/>
    <w:rsid w:val="005E7E0B"/>
    <w:rsid w:val="005F2D87"/>
    <w:rsid w:val="00601D4E"/>
    <w:rsid w:val="006119A3"/>
    <w:rsid w:val="006141E6"/>
    <w:rsid w:val="00622BD6"/>
    <w:rsid w:val="00627BAF"/>
    <w:rsid w:val="00635A03"/>
    <w:rsid w:val="00645ED0"/>
    <w:rsid w:val="00654751"/>
    <w:rsid w:val="00664520"/>
    <w:rsid w:val="00682FE0"/>
    <w:rsid w:val="0069771F"/>
    <w:rsid w:val="006C1A20"/>
    <w:rsid w:val="00712592"/>
    <w:rsid w:val="007276C3"/>
    <w:rsid w:val="00765D16"/>
    <w:rsid w:val="007852BB"/>
    <w:rsid w:val="007A07EB"/>
    <w:rsid w:val="007C57BE"/>
    <w:rsid w:val="007D720A"/>
    <w:rsid w:val="0080482F"/>
    <w:rsid w:val="00816902"/>
    <w:rsid w:val="00867C89"/>
    <w:rsid w:val="00871906"/>
    <w:rsid w:val="00882775"/>
    <w:rsid w:val="00895850"/>
    <w:rsid w:val="008A657C"/>
    <w:rsid w:val="008F566F"/>
    <w:rsid w:val="008F7EE1"/>
    <w:rsid w:val="00913150"/>
    <w:rsid w:val="00920650"/>
    <w:rsid w:val="009418FD"/>
    <w:rsid w:val="00975826"/>
    <w:rsid w:val="009855C2"/>
    <w:rsid w:val="00992736"/>
    <w:rsid w:val="009B7FC3"/>
    <w:rsid w:val="009D23EB"/>
    <w:rsid w:val="009D3D83"/>
    <w:rsid w:val="009F3342"/>
    <w:rsid w:val="00A14B00"/>
    <w:rsid w:val="00A31C83"/>
    <w:rsid w:val="00A462C6"/>
    <w:rsid w:val="00A464D5"/>
    <w:rsid w:val="00A57FCC"/>
    <w:rsid w:val="00A72A28"/>
    <w:rsid w:val="00A763AE"/>
    <w:rsid w:val="00A8471C"/>
    <w:rsid w:val="00A945A4"/>
    <w:rsid w:val="00AD14A2"/>
    <w:rsid w:val="00AD27C2"/>
    <w:rsid w:val="00ADEF51"/>
    <w:rsid w:val="00AE0308"/>
    <w:rsid w:val="00B06163"/>
    <w:rsid w:val="00B23B44"/>
    <w:rsid w:val="00B558A4"/>
    <w:rsid w:val="00B65C9B"/>
    <w:rsid w:val="00B752F1"/>
    <w:rsid w:val="00B761E5"/>
    <w:rsid w:val="00B7692D"/>
    <w:rsid w:val="00BA2AC3"/>
    <w:rsid w:val="00BB5301"/>
    <w:rsid w:val="00BF3BCF"/>
    <w:rsid w:val="00C025B5"/>
    <w:rsid w:val="00C602B2"/>
    <w:rsid w:val="00C76E03"/>
    <w:rsid w:val="00C85F3E"/>
    <w:rsid w:val="00CA531F"/>
    <w:rsid w:val="00CC2863"/>
    <w:rsid w:val="00CD3CBD"/>
    <w:rsid w:val="00CE1DD5"/>
    <w:rsid w:val="00CE4F39"/>
    <w:rsid w:val="00D25822"/>
    <w:rsid w:val="00D32CBD"/>
    <w:rsid w:val="00D35C81"/>
    <w:rsid w:val="00D43799"/>
    <w:rsid w:val="00D84582"/>
    <w:rsid w:val="00D84C92"/>
    <w:rsid w:val="00D85880"/>
    <w:rsid w:val="00D86107"/>
    <w:rsid w:val="00DA3D39"/>
    <w:rsid w:val="00DC007B"/>
    <w:rsid w:val="00DD6550"/>
    <w:rsid w:val="00DE6186"/>
    <w:rsid w:val="00E061F6"/>
    <w:rsid w:val="00E51674"/>
    <w:rsid w:val="00E91475"/>
    <w:rsid w:val="00EB76F6"/>
    <w:rsid w:val="00EB78AA"/>
    <w:rsid w:val="00ED72A7"/>
    <w:rsid w:val="00EF1656"/>
    <w:rsid w:val="00F0151F"/>
    <w:rsid w:val="00F31A54"/>
    <w:rsid w:val="00F45D97"/>
    <w:rsid w:val="00FA6828"/>
    <w:rsid w:val="00FA792C"/>
    <w:rsid w:val="00FB5582"/>
    <w:rsid w:val="00FC0737"/>
    <w:rsid w:val="00FC261F"/>
    <w:rsid w:val="0643716C"/>
    <w:rsid w:val="0A2B0D22"/>
    <w:rsid w:val="35CC9485"/>
    <w:rsid w:val="376864E6"/>
    <w:rsid w:val="52FCDB38"/>
    <w:rsid w:val="58C18629"/>
    <w:rsid w:val="622EB2F4"/>
    <w:rsid w:val="6BABD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0B3D0"/>
  <w15:chartTrackingRefBased/>
  <w15:docId w15:val="{1ED8324C-1040-402C-A341-0F234C6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3C4D17"/>
    <w:pPr>
      <w:keepNext/>
      <w:pBdr>
        <w:bottom w:val="single" w:sz="6" w:space="1" w:color="auto"/>
      </w:pBdr>
      <w:spacing w:after="0" w:line="240" w:lineRule="auto"/>
      <w:ind w:left="708" w:right="1418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C0C6E"/>
  </w:style>
  <w:style w:type="character" w:customStyle="1" w:styleId="eop">
    <w:name w:val="eop"/>
    <w:basedOn w:val="Fuentedeprrafopredeter"/>
    <w:rsid w:val="000C0C6E"/>
  </w:style>
  <w:style w:type="paragraph" w:styleId="Encabezado">
    <w:name w:val="header"/>
    <w:basedOn w:val="Normal"/>
    <w:link w:val="EncabezadoCar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C6E"/>
  </w:style>
  <w:style w:type="paragraph" w:styleId="Piedepgina">
    <w:name w:val="footer"/>
    <w:basedOn w:val="Normal"/>
    <w:link w:val="Piedepgina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6E"/>
  </w:style>
  <w:style w:type="paragraph" w:styleId="Textodeglobo">
    <w:name w:val="Balloon Text"/>
    <w:basedOn w:val="Normal"/>
    <w:link w:val="TextodegloboCar"/>
    <w:uiPriority w:val="99"/>
    <w:semiHidden/>
    <w:unhideWhenUsed/>
    <w:rsid w:val="004C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D0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119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9A3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6119A3"/>
  </w:style>
  <w:style w:type="character" w:customStyle="1" w:styleId="Ttulo4Car">
    <w:name w:val="Título 4 Car"/>
    <w:basedOn w:val="Fuentedeprrafopredeter"/>
    <w:link w:val="Ttulo4"/>
    <w:rsid w:val="003C4D1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C4D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C4D1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ipervnculo">
    <w:name w:val="Hyperlink"/>
    <w:rsid w:val="003C4D1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7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7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7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6C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71E2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82FE0"/>
    <w:rPr>
      <w:color w:val="605E5C"/>
      <w:shd w:val="clear" w:color="auto" w:fill="E1DFDD"/>
    </w:rPr>
  </w:style>
  <w:style w:type="paragraph" w:customStyle="1" w:styleId="C-BodyText">
    <w:name w:val="C-Body Text"/>
    <w:link w:val="C-BodyTextCharChar"/>
    <w:qFormat/>
    <w:rsid w:val="00134587"/>
    <w:pPr>
      <w:spacing w:before="120" w:after="120" w:line="264" w:lineRule="auto"/>
      <w:jc w:val="both"/>
    </w:pPr>
    <w:rPr>
      <w:rFonts w:ascii="Calibri" w:eastAsia="Arial Unicode MS" w:hAnsi="Calibri" w:cs="Times New Roman"/>
      <w:szCs w:val="24"/>
      <w:lang w:val="en-GB" w:eastAsia="zh-TW"/>
    </w:rPr>
  </w:style>
  <w:style w:type="character" w:customStyle="1" w:styleId="C-BodyTextCharChar">
    <w:name w:val="C-Body Text Char Char"/>
    <w:link w:val="C-BodyText"/>
    <w:rsid w:val="00134587"/>
    <w:rPr>
      <w:rFonts w:ascii="Calibri" w:eastAsia="Arial Unicode MS" w:hAnsi="Calibri" w:cs="Times New Roman"/>
      <w:szCs w:val="24"/>
      <w:lang w:val="en-GB" w:eastAsia="zh-TW"/>
    </w:rPr>
  </w:style>
  <w:style w:type="paragraph" w:customStyle="1" w:styleId="Arial14">
    <w:name w:val="Arial 14"/>
    <w:basedOn w:val="Normal"/>
    <w:rsid w:val="004947E4"/>
    <w:pPr>
      <w:spacing w:after="0" w:line="240" w:lineRule="auto"/>
    </w:pPr>
    <w:rPr>
      <w:rFonts w:ascii="Helv" w:eastAsia="Times New Roman" w:hAnsi="Helv" w:cs="Times New Roman"/>
      <w:noProof/>
      <w:snapToGrid w:val="0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XU7P7SY2DP3Q-491014520-149785</_dlc_DocId>
    <_dlc_DocIdUrl xmlns="9ff07a45-11f5-479e-a441-cd98a86709fe">
      <Url>https://allianzms.sharepoint.com/teams/ES0006-3163019/_layouts/15/DocIdRedir.aspx?ID=XU7P7SY2DP3Q-491014520-149785</Url>
      <Description>XU7P7SY2DP3Q-491014520-149785</Description>
    </_dlc_DocIdUrl>
  </documentManagement>
</p:properties>
</file>

<file path=customXml/itemProps1.xml><?xml version="1.0" encoding="utf-8"?>
<ds:datastoreItem xmlns:ds="http://schemas.openxmlformats.org/officeDocument/2006/customXml" ds:itemID="{AAAC7A4D-8606-42E3-8038-E59623056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0A39F-FBF7-4B01-8DC8-0B12BCF33A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233150-3D08-411C-B72B-54D3FAC4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B32B1-3E2F-4FC4-81D0-B5B5387E0AFC}">
  <ds:schemaRefs>
    <ds:schemaRef ds:uri="http://schemas.microsoft.com/office/2006/metadata/properties"/>
    <ds:schemaRef ds:uri="http://schemas.microsoft.com/office/infopath/2007/PartnerControls"/>
    <ds:schemaRef ds:uri="012217d6-fa2d-4252-bcd9-57041eb1a1c4"/>
    <ds:schemaRef ds:uri="2b6cbe70-0c33-48c9-8214-7f84aa4386b5"/>
    <ds:schemaRef ds:uri="5d5361cd-dd21-42bb-ace1-e1b72dd4ac82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 Bonet, Clara</dc:creator>
  <cp:keywords/>
  <dc:description/>
  <cp:lastModifiedBy>Rodriguez Mosquera, Sonia (Allianz Compania de Seguros y Reaseguros S.A.)</cp:lastModifiedBy>
  <cp:revision>2</cp:revision>
  <dcterms:created xsi:type="dcterms:W3CDTF">2023-06-21T14:51:00Z</dcterms:created>
  <dcterms:modified xsi:type="dcterms:W3CDTF">2023-06-21T14:51:00Z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0x010100D45E6E72D8714CC7944D4D047D7ED38D00F4A4AB4938F61541A37297F5A676FA57</vt:lpwstr>
  </property>
  <property fmtid="{D5CDD505-2E9C-101B-9397-08002B2CF9AE}" pid="3" name="Metadata">
    <vt:lpwstr>b7988hualzfd</vt:lpwstr>
  </property>
  <property fmtid="{D5CDD505-2E9C-101B-9397-08002B2CF9AE}" pid="4" name="OfficeDocumentSecurity_03052022145925">
    <vt:lpwstr>03052022145925;e104271;0</vt:lpwstr>
  </property>
  <property fmtid="{D5CDD505-2E9C-101B-9397-08002B2CF9AE}" pid="5" name="OfficeDocumentSecurity_04052022120625">
    <vt:lpwstr>04052022120625;e104271;0</vt:lpwstr>
  </property>
  <property fmtid="{D5CDD505-2E9C-101B-9397-08002B2CF9AE}" pid="6" name="OfficeDocumentSecurity_04052022121650">
    <vt:lpwstr>04052022121650;e104271;0</vt:lpwstr>
  </property>
  <property fmtid="{D5CDD505-2E9C-101B-9397-08002B2CF9AE}" pid="7" name="OfficeDocumentSecurity_04052022122837">
    <vt:lpwstr>04052022122837;e104271;0</vt:lpwstr>
  </property>
  <property fmtid="{D5CDD505-2E9C-101B-9397-08002B2CF9AE}" pid="8" name="OfficeDocumentSecurity_04052022124837">
    <vt:lpwstr>04052022124837;e104271;0</vt:lpwstr>
  </property>
  <property fmtid="{D5CDD505-2E9C-101B-9397-08002B2CF9AE}" pid="9" name="OfficeDocumentSecurity_04052022142535">
    <vt:lpwstr>04052022142535;e104271;0</vt:lpwstr>
  </property>
  <property fmtid="{D5CDD505-2E9C-101B-9397-08002B2CF9AE}" pid="10" name="OfficeDocumentSecurity_04052022143542">
    <vt:lpwstr>04052022143542;e104271;0</vt:lpwstr>
  </property>
  <property fmtid="{D5CDD505-2E9C-101B-9397-08002B2CF9AE}" pid="11" name="OfficeDocumentSecurity_04052022144557">
    <vt:lpwstr>04052022144557;e104271;0</vt:lpwstr>
  </property>
  <property fmtid="{D5CDD505-2E9C-101B-9397-08002B2CF9AE}" pid="12" name="OfficeDocumentSecurity_04052022145559">
    <vt:lpwstr>04052022145559;e104271;0</vt:lpwstr>
  </property>
  <property fmtid="{D5CDD505-2E9C-101B-9397-08002B2CF9AE}" pid="13" name="OfficeDocumentSecurity_04052022145952">
    <vt:lpwstr>04052022145952;e104271;0</vt:lpwstr>
  </property>
  <property fmtid="{D5CDD505-2E9C-101B-9397-08002B2CF9AE}" pid="14" name="OfficeDocumentSecurity_06052022140147">
    <vt:lpwstr>06052022140147;e104271;0</vt:lpwstr>
  </property>
  <property fmtid="{D5CDD505-2E9C-101B-9397-08002B2CF9AE}" pid="15" name="OfficeDocumentSecurity_06052022140346">
    <vt:lpwstr>06052022140346;e104271;0</vt:lpwstr>
  </property>
  <property fmtid="{D5CDD505-2E9C-101B-9397-08002B2CF9AE}" pid="16" name="OfficeDocumentSecurity_10052022081707">
    <vt:lpwstr>10052022081707;e006418;0</vt:lpwstr>
  </property>
  <property fmtid="{D5CDD505-2E9C-101B-9397-08002B2CF9AE}" pid="17" name="OfficeDocumentSecurity_10052022082300">
    <vt:lpwstr>10052022082300;e006418;0</vt:lpwstr>
  </property>
  <property fmtid="{D5CDD505-2E9C-101B-9397-08002B2CF9AE}" pid="18" name="OfficeDocumentSecurity_10052022082314">
    <vt:lpwstr>10052022082314;e006418;0</vt:lpwstr>
  </property>
  <property fmtid="{D5CDD505-2E9C-101B-9397-08002B2CF9AE}" pid="19" name="OfficeDocumentSecurity_10052022132346">
    <vt:lpwstr>10052022132346;e006418;0</vt:lpwstr>
  </property>
  <property fmtid="{D5CDD505-2E9C-101B-9397-08002B2CF9AE}" pid="20" name="OfficeDocumentSecurity_13052022150418">
    <vt:lpwstr>13052022150418;e104271;0</vt:lpwstr>
  </property>
  <property fmtid="{D5CDD505-2E9C-101B-9397-08002B2CF9AE}" pid="21" name="OfficeDocumentSecurity_13052022150526">
    <vt:lpwstr>13052022150526;e104271;0</vt:lpwstr>
  </property>
  <property fmtid="{D5CDD505-2E9C-101B-9397-08002B2CF9AE}" pid="22" name="MediaServiceImageTags">
    <vt:lpwstr/>
  </property>
  <property fmtid="{D5CDD505-2E9C-101B-9397-08002B2CF9AE}" pid="23" name="_dlc_DocIdItemGuid">
    <vt:lpwstr>6236885c-9240-4a62-9b0e-3ff2ece4c92c</vt:lpwstr>
  </property>
  <property fmtid="{D5CDD505-2E9C-101B-9397-08002B2CF9AE}" pid="24" name="DossierDepartment">
    <vt:lpwstr/>
  </property>
  <property fmtid="{D5CDD505-2E9C-101B-9397-08002B2CF9AE}" pid="25" name="AllianzContractingParties">
    <vt:lpwstr/>
  </property>
  <property fmtid="{D5CDD505-2E9C-101B-9397-08002B2CF9AE}" pid="26" name="Contract_Type">
    <vt:lpwstr/>
  </property>
  <property fmtid="{D5CDD505-2E9C-101B-9397-08002B2CF9AE}" pid="27" name="b0fe84444e894ab98172082a3d0e58f8">
    <vt:lpwstr/>
  </property>
  <property fmtid="{D5CDD505-2E9C-101B-9397-08002B2CF9AE}" pid="28" name="Document_Class">
    <vt:lpwstr/>
  </property>
  <property fmtid="{D5CDD505-2E9C-101B-9397-08002B2CF9AE}" pid="29" name="iccd162ff52447b49ab8f5fd8f2cec1e">
    <vt:lpwstr/>
  </property>
  <property fmtid="{D5CDD505-2E9C-101B-9397-08002B2CF9AE}" pid="30" name="nd762d5e82fb490792aa88eaddbb89ea">
    <vt:lpwstr/>
  </property>
  <property fmtid="{D5CDD505-2E9C-101B-9397-08002B2CF9AE}" pid="31" name="MSIP_Label_863bc15e-e7bf-41c1-bdb3-03882d8a2e2c_Enabled">
    <vt:lpwstr>true</vt:lpwstr>
  </property>
  <property fmtid="{D5CDD505-2E9C-101B-9397-08002B2CF9AE}" pid="32" name="MSIP_Label_863bc15e-e7bf-41c1-bdb3-03882d8a2e2c_SetDate">
    <vt:lpwstr>2023-06-21T14:51:23Z</vt:lpwstr>
  </property>
  <property fmtid="{D5CDD505-2E9C-101B-9397-08002B2CF9AE}" pid="33" name="MSIP_Label_863bc15e-e7bf-41c1-bdb3-03882d8a2e2c_Method">
    <vt:lpwstr>Privileged</vt:lpwstr>
  </property>
  <property fmtid="{D5CDD505-2E9C-101B-9397-08002B2CF9AE}" pid="34" name="MSIP_Label_863bc15e-e7bf-41c1-bdb3-03882d8a2e2c_Name">
    <vt:lpwstr>863bc15e-e7bf-41c1-bdb3-03882d8a2e2c</vt:lpwstr>
  </property>
  <property fmtid="{D5CDD505-2E9C-101B-9397-08002B2CF9AE}" pid="35" name="MSIP_Label_863bc15e-e7bf-41c1-bdb3-03882d8a2e2c_SiteId">
    <vt:lpwstr>6e06e42d-6925-47c6-b9e7-9581c7ca302a</vt:lpwstr>
  </property>
  <property fmtid="{D5CDD505-2E9C-101B-9397-08002B2CF9AE}" pid="36" name="MSIP_Label_863bc15e-e7bf-41c1-bdb3-03882d8a2e2c_ActionId">
    <vt:lpwstr>4a3d062b-d9d8-4b38-b268-eb4b2e1a8ae3</vt:lpwstr>
  </property>
  <property fmtid="{D5CDD505-2E9C-101B-9397-08002B2CF9AE}" pid="37" name="MSIP_Label_863bc15e-e7bf-41c1-bdb3-03882d8a2e2c_ContentBits">
    <vt:lpwstr>1</vt:lpwstr>
  </property>
</Properties>
</file>