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198D4" w14:textId="1ECE9ED0" w:rsidR="00302332" w:rsidRDefault="00302332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110F631" w14:textId="5F2A5CB0" w:rsidR="00302332" w:rsidRDefault="73BDC82A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6ADF488">
        <w:rPr>
          <w:rFonts w:ascii="Segoe UI" w:eastAsia="Segoe UI" w:hAnsi="Segoe UI" w:cs="Segoe UI"/>
          <w:color w:val="000000" w:themeColor="text1"/>
          <w:sz w:val="28"/>
          <w:szCs w:val="28"/>
        </w:rPr>
        <w:t>Allianz Seguros</w:t>
      </w:r>
    </w:p>
    <w:p w14:paraId="509640FC" w14:textId="713302E0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12"/>
          <w:szCs w:val="12"/>
        </w:rPr>
      </w:pPr>
    </w:p>
    <w:p w14:paraId="6EC7C8C3" w14:textId="0BE5F671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6ADF488">
        <w:rPr>
          <w:rFonts w:ascii="Arial" w:eastAsia="Arial" w:hAnsi="Arial" w:cs="Arial"/>
          <w:color w:val="000000" w:themeColor="text1"/>
          <w:sz w:val="20"/>
          <w:szCs w:val="20"/>
        </w:rPr>
        <w:t>Comunicación Corporativa</w:t>
      </w:r>
    </w:p>
    <w:p w14:paraId="346EF966" w14:textId="18369783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F9B323" w14:textId="3F0A2219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7F7F7F" w:themeColor="text1" w:themeTint="80"/>
          <w:sz w:val="44"/>
          <w:szCs w:val="44"/>
        </w:rPr>
      </w:pPr>
      <w:r w:rsidRPr="56ADF488">
        <w:rPr>
          <w:rFonts w:ascii="Arial" w:eastAsia="Arial" w:hAnsi="Arial" w:cs="Arial"/>
          <w:color w:val="7F7F7F" w:themeColor="text1" w:themeTint="80"/>
          <w:sz w:val="44"/>
          <w:szCs w:val="44"/>
        </w:rPr>
        <w:t>Nota de Prensa</w:t>
      </w:r>
    </w:p>
    <w:p w14:paraId="262A4D86" w14:textId="5DB398FC" w:rsidR="00302332" w:rsidRDefault="00302332" w:rsidP="56ADF488">
      <w:pPr>
        <w:spacing w:after="0" w:line="240" w:lineRule="auto"/>
        <w:ind w:firstLine="708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9A367" w14:textId="528FC6BD" w:rsidR="00302332" w:rsidRDefault="00302332" w:rsidP="56ADF488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4F7D4C" w14:textId="0DB6933D" w:rsidR="00302332" w:rsidRPr="00145072" w:rsidRDefault="73BDC82A" w:rsidP="56ADF488">
      <w:pPr>
        <w:spacing w:after="0" w:line="240" w:lineRule="auto"/>
        <w:ind w:left="540" w:right="567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Allianz </w:t>
      </w:r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Seguros</w:t>
      </w:r>
      <w:r w:rsidR="001542DB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y</w:t>
      </w:r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Allianz Commercial </w:t>
      </w:r>
      <w:r w:rsidR="00256C16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cert</w:t>
      </w:r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ificada</w:t>
      </w:r>
      <w:r w:rsid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</w:t>
      </w:r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como Great Place </w:t>
      </w:r>
      <w:proofErr w:type="spellStart"/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to</w:t>
      </w:r>
      <w:proofErr w:type="spellEnd"/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145072"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Work</w:t>
      </w:r>
      <w:proofErr w:type="spellEnd"/>
      <w:r w:rsidRPr="0014507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</w:p>
    <w:p w14:paraId="2E93FEF9" w14:textId="5D945AFA" w:rsidR="00302332" w:rsidRPr="00145072" w:rsidRDefault="00302332" w:rsidP="56ADF488">
      <w:pPr>
        <w:spacing w:after="0" w:line="240" w:lineRule="auto"/>
        <w:ind w:left="540" w:right="94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E13E9F2" w14:textId="790748E7" w:rsidR="00302332" w:rsidRDefault="73BDC82A" w:rsidP="00EC40D6">
      <w:pPr>
        <w:pStyle w:val="Prrafodelista"/>
        <w:numPr>
          <w:ilvl w:val="0"/>
          <w:numId w:val="1"/>
        </w:numPr>
        <w:spacing w:after="0" w:line="360" w:lineRule="auto"/>
        <w:ind w:left="426" w:right="566" w:hanging="29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La certificación acredita que</w:t>
      </w:r>
      <w:r w:rsidR="0014507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las </w:t>
      </w:r>
      <w:r w:rsidR="0076668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dos</w:t>
      </w:r>
      <w:r w:rsidR="0014507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compañías</w:t>
      </w: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ofrece</w:t>
      </w:r>
      <w:r w:rsidR="0014507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las mejores condiciones a sus empleados/as</w:t>
      </w:r>
    </w:p>
    <w:p w14:paraId="7ADF9F89" w14:textId="7458F47E" w:rsidR="00302332" w:rsidRPr="00F560B6" w:rsidRDefault="00D72D01" w:rsidP="00EC40D6">
      <w:pPr>
        <w:pStyle w:val="Prrafodelista"/>
        <w:numPr>
          <w:ilvl w:val="0"/>
          <w:numId w:val="1"/>
        </w:numPr>
        <w:spacing w:after="0" w:line="360" w:lineRule="auto"/>
        <w:ind w:left="426" w:right="941" w:hanging="294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</w:t>
      </w:r>
      <w:r w:rsidR="0076668B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mbas entidades</w:t>
      </w:r>
      <w:r w:rsidR="0981DE01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ha</w:t>
      </w:r>
      <w:r w:rsidR="0076668B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="0981DE01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destacado por </w:t>
      </w:r>
      <w:r w:rsidR="3CB1C2A9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sus</w:t>
      </w:r>
      <w:r w:rsidR="0981DE01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prácticas de bienestar</w:t>
      </w:r>
      <w:r w:rsidR="0076668B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="0981DE01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desarrollo</w:t>
      </w:r>
      <w:r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="0076668B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su apuesta por la diversidad</w:t>
      </w:r>
      <w:r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y</w:t>
      </w:r>
      <w:r w:rsidR="00F560B6" w:rsidRPr="00F560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la cohesión del equipo</w:t>
      </w:r>
    </w:p>
    <w:p w14:paraId="61140E8B" w14:textId="77777777" w:rsidR="00F560B6" w:rsidRDefault="00F560B6" w:rsidP="00D72D01">
      <w:pPr>
        <w:spacing w:after="0" w:line="276" w:lineRule="auto"/>
        <w:ind w:right="425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5D3A1609" w14:textId="2128B0BE" w:rsidR="00145072" w:rsidRDefault="73BDC82A" w:rsidP="00D72D01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Madrid, </w:t>
      </w:r>
      <w:r w:rsidR="00F560B6">
        <w:rPr>
          <w:rFonts w:ascii="Arial" w:eastAsia="Arial" w:hAnsi="Arial" w:cs="Arial"/>
          <w:b/>
          <w:bCs/>
          <w:color w:val="000000" w:themeColor="text1"/>
        </w:rPr>
        <w:t>03 de septiembre</w:t>
      </w: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 de 202</w:t>
      </w:r>
      <w:r w:rsidR="00145072">
        <w:rPr>
          <w:rFonts w:ascii="Arial" w:eastAsia="Arial" w:hAnsi="Arial" w:cs="Arial"/>
          <w:b/>
          <w:bCs/>
          <w:color w:val="000000" w:themeColor="text1"/>
        </w:rPr>
        <w:t>4</w:t>
      </w:r>
      <w:r w:rsidRPr="56ADF488">
        <w:rPr>
          <w:rFonts w:ascii="Arial" w:eastAsia="Arial" w:hAnsi="Arial" w:cs="Arial"/>
          <w:b/>
          <w:bCs/>
          <w:color w:val="000000" w:themeColor="text1"/>
        </w:rPr>
        <w:t>.-</w:t>
      </w:r>
      <w:r w:rsidRPr="56ADF488">
        <w:rPr>
          <w:rFonts w:ascii="Arial" w:eastAsia="Arial" w:hAnsi="Arial" w:cs="Arial"/>
          <w:color w:val="000000" w:themeColor="text1"/>
        </w:rPr>
        <w:t xml:space="preserve"> </w:t>
      </w:r>
      <w:r w:rsidR="0076668B">
        <w:rPr>
          <w:rFonts w:ascii="Arial" w:eastAsia="Arial" w:hAnsi="Arial" w:cs="Arial"/>
          <w:color w:val="000000" w:themeColor="text1"/>
        </w:rPr>
        <w:t>Las compañías del Grupo Allianz en España</w:t>
      </w:r>
      <w:r w:rsidRPr="56ADF488">
        <w:rPr>
          <w:rFonts w:ascii="Arial" w:eastAsia="Arial" w:hAnsi="Arial" w:cs="Arial"/>
          <w:color w:val="000000" w:themeColor="text1"/>
        </w:rPr>
        <w:t xml:space="preserve"> Allianz Seguros</w:t>
      </w:r>
      <w:r w:rsidR="0076668B">
        <w:rPr>
          <w:rFonts w:ascii="Arial" w:eastAsia="Arial" w:hAnsi="Arial" w:cs="Arial"/>
          <w:color w:val="000000" w:themeColor="text1"/>
        </w:rPr>
        <w:t xml:space="preserve"> y</w:t>
      </w:r>
      <w:r w:rsidR="00145072">
        <w:rPr>
          <w:rFonts w:ascii="Arial" w:eastAsia="Arial" w:hAnsi="Arial" w:cs="Arial"/>
          <w:color w:val="000000" w:themeColor="text1"/>
        </w:rPr>
        <w:t xml:space="preserve"> Allianz Commercial han sido certificadas</w:t>
      </w:r>
      <w:r w:rsidR="00D72D01">
        <w:rPr>
          <w:rFonts w:ascii="Arial" w:eastAsia="Arial" w:hAnsi="Arial" w:cs="Arial"/>
          <w:color w:val="000000" w:themeColor="text1"/>
        </w:rPr>
        <w:t xml:space="preserve"> por primera vez</w:t>
      </w:r>
      <w:r w:rsidR="00145072">
        <w:rPr>
          <w:rFonts w:ascii="Arial" w:eastAsia="Arial" w:hAnsi="Arial" w:cs="Arial"/>
          <w:color w:val="000000" w:themeColor="text1"/>
        </w:rPr>
        <w:t xml:space="preserve"> </w:t>
      </w:r>
      <w:r w:rsidR="00103098">
        <w:rPr>
          <w:rFonts w:ascii="Arial" w:eastAsia="Arial" w:hAnsi="Arial" w:cs="Arial"/>
          <w:color w:val="000000" w:themeColor="text1"/>
        </w:rPr>
        <w:t>como</w:t>
      </w:r>
      <w:r w:rsidR="00145072">
        <w:rPr>
          <w:rFonts w:ascii="Arial" w:eastAsia="Arial" w:hAnsi="Arial" w:cs="Arial"/>
          <w:color w:val="000000" w:themeColor="text1"/>
        </w:rPr>
        <w:t xml:space="preserve"> Great Place </w:t>
      </w:r>
      <w:proofErr w:type="spellStart"/>
      <w:r w:rsidR="00145072">
        <w:rPr>
          <w:rFonts w:ascii="Arial" w:eastAsia="Arial" w:hAnsi="Arial" w:cs="Arial"/>
          <w:color w:val="000000" w:themeColor="text1"/>
        </w:rPr>
        <w:t>to</w:t>
      </w:r>
      <w:proofErr w:type="spellEnd"/>
      <w:r w:rsidR="0014507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145072">
        <w:rPr>
          <w:rFonts w:ascii="Arial" w:eastAsia="Arial" w:hAnsi="Arial" w:cs="Arial"/>
          <w:color w:val="000000" w:themeColor="text1"/>
        </w:rPr>
        <w:t>Work</w:t>
      </w:r>
      <w:proofErr w:type="spellEnd"/>
      <w:r w:rsidR="00103098">
        <w:rPr>
          <w:rFonts w:ascii="Arial" w:eastAsia="Arial" w:hAnsi="Arial" w:cs="Arial"/>
          <w:color w:val="000000" w:themeColor="text1"/>
        </w:rPr>
        <w:t>.</w:t>
      </w:r>
      <w:r w:rsidR="00D72D01">
        <w:rPr>
          <w:rFonts w:ascii="Arial" w:eastAsia="Arial" w:hAnsi="Arial" w:cs="Arial"/>
          <w:color w:val="000000" w:themeColor="text1"/>
        </w:rPr>
        <w:t xml:space="preserve"> Este certificado</w:t>
      </w:r>
      <w:r w:rsidR="00145072" w:rsidRPr="00145072">
        <w:rPr>
          <w:rFonts w:ascii="Arial" w:eastAsia="Arial" w:hAnsi="Arial" w:cs="Arial"/>
          <w:color w:val="000000" w:themeColor="text1"/>
        </w:rPr>
        <w:t xml:space="preserve"> </w:t>
      </w:r>
      <w:r w:rsidR="00145072">
        <w:rPr>
          <w:rFonts w:ascii="Arial" w:eastAsia="Arial" w:hAnsi="Arial" w:cs="Arial"/>
          <w:color w:val="000000" w:themeColor="text1"/>
        </w:rPr>
        <w:t xml:space="preserve">valora la confianza en líderes y compañeros, la empatía y el trato equitativo. </w:t>
      </w:r>
      <w:r w:rsidR="00550EF2">
        <w:rPr>
          <w:rFonts w:ascii="Arial" w:eastAsia="Arial" w:hAnsi="Arial" w:cs="Arial"/>
          <w:color w:val="000000" w:themeColor="text1"/>
        </w:rPr>
        <w:t xml:space="preserve">Cabe mencionar que los equipos de las empresas del Grupo Allianz en España valoraron muy especialmente las cuestiones relacionadas con la </w:t>
      </w:r>
      <w:r w:rsidR="00550EF2" w:rsidRPr="00550EF2">
        <w:rPr>
          <w:rFonts w:ascii="Arial" w:eastAsia="Arial" w:hAnsi="Arial" w:cs="Arial"/>
          <w:b/>
          <w:bCs/>
          <w:color w:val="000000" w:themeColor="text1"/>
        </w:rPr>
        <w:t>conciliación</w:t>
      </w:r>
      <w:r w:rsidR="00550EF2">
        <w:rPr>
          <w:rFonts w:ascii="Arial" w:eastAsia="Arial" w:hAnsi="Arial" w:cs="Arial"/>
          <w:color w:val="000000" w:themeColor="text1"/>
        </w:rPr>
        <w:t xml:space="preserve"> de la vida profesional y </w:t>
      </w:r>
      <w:proofErr w:type="gramStart"/>
      <w:r w:rsidR="00550EF2">
        <w:rPr>
          <w:rFonts w:ascii="Arial" w:eastAsia="Arial" w:hAnsi="Arial" w:cs="Arial"/>
          <w:color w:val="000000" w:themeColor="text1"/>
        </w:rPr>
        <w:t>personal</w:t>
      </w:r>
      <w:proofErr w:type="gramEnd"/>
      <w:r w:rsidR="00550EF2">
        <w:rPr>
          <w:rFonts w:ascii="Arial" w:eastAsia="Arial" w:hAnsi="Arial" w:cs="Arial"/>
          <w:color w:val="000000" w:themeColor="text1"/>
        </w:rPr>
        <w:t xml:space="preserve"> así como la </w:t>
      </w:r>
      <w:r w:rsidR="00550EF2" w:rsidRPr="00550EF2">
        <w:rPr>
          <w:rFonts w:ascii="Arial" w:eastAsia="Arial" w:hAnsi="Arial" w:cs="Arial"/>
          <w:b/>
          <w:bCs/>
          <w:color w:val="000000" w:themeColor="text1"/>
        </w:rPr>
        <w:t>diversidad</w:t>
      </w:r>
      <w:r w:rsidR="00D72D01">
        <w:rPr>
          <w:rFonts w:ascii="Arial" w:eastAsia="Arial" w:hAnsi="Arial" w:cs="Arial"/>
          <w:color w:val="000000" w:themeColor="text1"/>
        </w:rPr>
        <w:t xml:space="preserve">, el sentimiento de comunidad y </w:t>
      </w:r>
      <w:r w:rsidR="00D62A58">
        <w:rPr>
          <w:rFonts w:ascii="Arial" w:eastAsia="Arial" w:hAnsi="Arial" w:cs="Arial"/>
          <w:color w:val="000000" w:themeColor="text1"/>
        </w:rPr>
        <w:t>la cohesión del equipo</w:t>
      </w:r>
      <w:r w:rsidR="00F43C57">
        <w:rPr>
          <w:rFonts w:ascii="Arial" w:eastAsia="Arial" w:hAnsi="Arial" w:cs="Arial"/>
          <w:color w:val="000000" w:themeColor="text1"/>
        </w:rPr>
        <w:t>.</w:t>
      </w:r>
    </w:p>
    <w:p w14:paraId="13011200" w14:textId="77777777" w:rsidR="00F43C57" w:rsidRDefault="00F43C57" w:rsidP="00A46672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3994B3BA" w14:textId="6BF3CDE5" w:rsidR="009916D9" w:rsidRP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 xml:space="preserve">En un entorno laboral en constante evolución, Allianz </w:t>
      </w:r>
      <w:r w:rsidR="00D72D01">
        <w:rPr>
          <w:rFonts w:ascii="Arial" w:eastAsia="Arial" w:hAnsi="Arial" w:cs="Arial"/>
          <w:color w:val="000000" w:themeColor="text1"/>
        </w:rPr>
        <w:t xml:space="preserve">Seguros </w:t>
      </w:r>
      <w:r w:rsidRPr="009916D9">
        <w:rPr>
          <w:rFonts w:ascii="Arial" w:eastAsia="Arial" w:hAnsi="Arial" w:cs="Arial"/>
          <w:color w:val="000000" w:themeColor="text1"/>
        </w:rPr>
        <w:t xml:space="preserve">destaca por su enfoque centrado en las personas, impulsando una estrategia de transformación digital y bienestar bajo su propuesta de valor para el empleado, </w:t>
      </w:r>
      <w:r w:rsidRPr="00103098">
        <w:rPr>
          <w:rFonts w:ascii="Arial" w:eastAsia="Arial" w:hAnsi="Arial" w:cs="Arial"/>
          <w:b/>
          <w:bCs/>
          <w:color w:val="000000" w:themeColor="text1"/>
        </w:rPr>
        <w:t>"</w:t>
      </w:r>
      <w:proofErr w:type="spellStart"/>
      <w:r w:rsidRPr="00103098">
        <w:rPr>
          <w:rFonts w:ascii="Arial" w:eastAsia="Arial" w:hAnsi="Arial" w:cs="Arial"/>
          <w:b/>
          <w:bCs/>
          <w:color w:val="000000" w:themeColor="text1"/>
        </w:rPr>
        <w:t>We</w:t>
      </w:r>
      <w:proofErr w:type="spellEnd"/>
      <w:r w:rsidRPr="00103098">
        <w:rPr>
          <w:rFonts w:ascii="Arial" w:eastAsia="Arial" w:hAnsi="Arial" w:cs="Arial"/>
          <w:b/>
          <w:bCs/>
          <w:color w:val="000000" w:themeColor="text1"/>
        </w:rPr>
        <w:t xml:space="preserve"> care </w:t>
      </w:r>
      <w:proofErr w:type="spellStart"/>
      <w:r w:rsidRPr="00103098">
        <w:rPr>
          <w:rFonts w:ascii="Arial" w:eastAsia="Arial" w:hAnsi="Arial" w:cs="Arial"/>
          <w:b/>
          <w:bCs/>
          <w:color w:val="000000" w:themeColor="text1"/>
        </w:rPr>
        <w:t>for</w:t>
      </w:r>
      <w:proofErr w:type="spellEnd"/>
      <w:r w:rsidRPr="0010309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00103098">
        <w:rPr>
          <w:rFonts w:ascii="Arial" w:eastAsia="Arial" w:hAnsi="Arial" w:cs="Arial"/>
          <w:b/>
          <w:bCs/>
          <w:color w:val="000000" w:themeColor="text1"/>
        </w:rPr>
        <w:t>tomorrow</w:t>
      </w:r>
      <w:proofErr w:type="spellEnd"/>
      <w:r w:rsidRPr="00103098">
        <w:rPr>
          <w:rFonts w:ascii="Arial" w:eastAsia="Arial" w:hAnsi="Arial" w:cs="Arial"/>
          <w:b/>
          <w:bCs/>
          <w:color w:val="000000" w:themeColor="text1"/>
        </w:rPr>
        <w:t>"</w:t>
      </w:r>
      <w:r w:rsidRPr="009916D9">
        <w:rPr>
          <w:rFonts w:ascii="Arial" w:eastAsia="Arial" w:hAnsi="Arial" w:cs="Arial"/>
          <w:color w:val="000000" w:themeColor="text1"/>
        </w:rPr>
        <w:t xml:space="preserve">. </w:t>
      </w:r>
      <w:r w:rsidR="00D72D01">
        <w:rPr>
          <w:rFonts w:ascii="Arial" w:eastAsia="Arial" w:hAnsi="Arial" w:cs="Arial"/>
          <w:color w:val="000000" w:themeColor="text1"/>
        </w:rPr>
        <w:t>Asimismo, ambas</w:t>
      </w:r>
      <w:r w:rsidR="00D72D01" w:rsidRPr="009916D9">
        <w:rPr>
          <w:rFonts w:ascii="Arial" w:eastAsia="Arial" w:hAnsi="Arial" w:cs="Arial"/>
          <w:color w:val="000000" w:themeColor="text1"/>
        </w:rPr>
        <w:t xml:space="preserve"> </w:t>
      </w:r>
      <w:r w:rsidRPr="009916D9">
        <w:rPr>
          <w:rFonts w:ascii="Arial" w:eastAsia="Arial" w:hAnsi="Arial" w:cs="Arial"/>
          <w:color w:val="000000" w:themeColor="text1"/>
        </w:rPr>
        <w:t>compañía</w:t>
      </w:r>
      <w:r w:rsidR="00D72D01">
        <w:rPr>
          <w:rFonts w:ascii="Arial" w:eastAsia="Arial" w:hAnsi="Arial" w:cs="Arial"/>
          <w:color w:val="000000" w:themeColor="text1"/>
        </w:rPr>
        <w:t>s</w:t>
      </w:r>
      <w:r w:rsidRPr="009916D9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dispone</w:t>
      </w:r>
      <w:r w:rsidR="00D72D01">
        <w:rPr>
          <w:rFonts w:ascii="Arial" w:eastAsia="Arial" w:hAnsi="Arial" w:cs="Arial"/>
          <w:color w:val="000000" w:themeColor="text1"/>
        </w:rPr>
        <w:t>n</w:t>
      </w:r>
      <w:r>
        <w:rPr>
          <w:rFonts w:ascii="Arial" w:eastAsia="Arial" w:hAnsi="Arial" w:cs="Arial"/>
          <w:color w:val="000000" w:themeColor="text1"/>
        </w:rPr>
        <w:t xml:space="preserve"> de un</w:t>
      </w:r>
      <w:r w:rsidRPr="009916D9">
        <w:rPr>
          <w:rFonts w:ascii="Arial" w:eastAsia="Arial" w:hAnsi="Arial" w:cs="Arial"/>
          <w:color w:val="000000" w:themeColor="text1"/>
        </w:rPr>
        <w:t xml:space="preserve"> modelo de trabajo </w:t>
      </w:r>
      <w:r w:rsidR="00D72D01">
        <w:rPr>
          <w:rFonts w:ascii="Arial" w:eastAsia="Arial" w:hAnsi="Arial" w:cs="Arial"/>
          <w:color w:val="000000" w:themeColor="text1"/>
        </w:rPr>
        <w:t>con</w:t>
      </w:r>
      <w:r w:rsidRPr="009916D9">
        <w:rPr>
          <w:rFonts w:ascii="Arial" w:eastAsia="Arial" w:hAnsi="Arial" w:cs="Arial"/>
          <w:color w:val="000000" w:themeColor="text1"/>
        </w:rPr>
        <w:t xml:space="preserve"> formato híbrido, </w:t>
      </w:r>
      <w:r>
        <w:rPr>
          <w:rFonts w:ascii="Arial" w:eastAsia="Arial" w:hAnsi="Arial" w:cs="Arial"/>
          <w:color w:val="000000" w:themeColor="text1"/>
        </w:rPr>
        <w:t>que combina</w:t>
      </w:r>
      <w:r w:rsidRPr="009916D9">
        <w:rPr>
          <w:rFonts w:ascii="Arial" w:eastAsia="Arial" w:hAnsi="Arial" w:cs="Arial"/>
          <w:color w:val="000000" w:themeColor="text1"/>
        </w:rPr>
        <w:t xml:space="preserve"> la presencialidad para actividades que requieren mayor colaboración y creatividad, con el teletrabajo para tareas más autónomas. Además, </w:t>
      </w:r>
      <w:r>
        <w:rPr>
          <w:rFonts w:ascii="Arial" w:eastAsia="Arial" w:hAnsi="Arial" w:cs="Arial"/>
          <w:color w:val="000000" w:themeColor="text1"/>
        </w:rPr>
        <w:t>cuenta</w:t>
      </w:r>
      <w:r w:rsidR="00D72D01">
        <w:rPr>
          <w:rFonts w:ascii="Arial" w:eastAsia="Arial" w:hAnsi="Arial" w:cs="Arial"/>
          <w:color w:val="000000" w:themeColor="text1"/>
        </w:rPr>
        <w:t>n</w:t>
      </w:r>
      <w:r>
        <w:rPr>
          <w:rFonts w:ascii="Arial" w:eastAsia="Arial" w:hAnsi="Arial" w:cs="Arial"/>
          <w:color w:val="000000" w:themeColor="text1"/>
        </w:rPr>
        <w:t xml:space="preserve"> con</w:t>
      </w:r>
      <w:r w:rsidRPr="009916D9">
        <w:rPr>
          <w:rFonts w:ascii="Arial" w:eastAsia="Arial" w:hAnsi="Arial" w:cs="Arial"/>
          <w:color w:val="000000" w:themeColor="text1"/>
        </w:rPr>
        <w:t xml:space="preserve"> directrices claras para la desconexión digital</w:t>
      </w:r>
      <w:r>
        <w:rPr>
          <w:rFonts w:ascii="Arial" w:eastAsia="Arial" w:hAnsi="Arial" w:cs="Arial"/>
          <w:color w:val="000000" w:themeColor="text1"/>
        </w:rPr>
        <w:t xml:space="preserve"> en aras de</w:t>
      </w:r>
      <w:r w:rsidRPr="009916D9">
        <w:rPr>
          <w:rFonts w:ascii="Arial" w:eastAsia="Arial" w:hAnsi="Arial" w:cs="Arial"/>
          <w:color w:val="000000" w:themeColor="text1"/>
        </w:rPr>
        <w:t xml:space="preserve"> equilibrar la vida laboral y personal de los empleados.</w:t>
      </w:r>
      <w:r w:rsidR="00550EF2">
        <w:rPr>
          <w:rFonts w:ascii="Arial" w:eastAsia="Arial" w:hAnsi="Arial" w:cs="Arial"/>
          <w:color w:val="000000" w:themeColor="text1"/>
        </w:rPr>
        <w:t xml:space="preserve"> </w:t>
      </w:r>
    </w:p>
    <w:p w14:paraId="4B03FE4D" w14:textId="77777777" w:rsid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18BFB1CD" w14:textId="31113C1F" w:rsid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 xml:space="preserve">Uno de los pilares clave de </w:t>
      </w:r>
      <w:r w:rsidR="00D72D01">
        <w:rPr>
          <w:rFonts w:ascii="Arial" w:eastAsia="Arial" w:hAnsi="Arial" w:cs="Arial"/>
          <w:color w:val="000000" w:themeColor="text1"/>
        </w:rPr>
        <w:t>la</w:t>
      </w:r>
      <w:r w:rsidRPr="009916D9">
        <w:rPr>
          <w:rFonts w:ascii="Arial" w:eastAsia="Arial" w:hAnsi="Arial" w:cs="Arial"/>
          <w:color w:val="000000" w:themeColor="text1"/>
        </w:rPr>
        <w:t xml:space="preserve"> cultura </w:t>
      </w:r>
      <w:r w:rsidR="00D72D01">
        <w:rPr>
          <w:rFonts w:ascii="Arial" w:eastAsia="Arial" w:hAnsi="Arial" w:cs="Arial"/>
          <w:color w:val="000000" w:themeColor="text1"/>
        </w:rPr>
        <w:t xml:space="preserve">de Grupo Allianz </w:t>
      </w:r>
      <w:r w:rsidRPr="009916D9">
        <w:rPr>
          <w:rFonts w:ascii="Arial" w:eastAsia="Arial" w:hAnsi="Arial" w:cs="Arial"/>
          <w:color w:val="000000" w:themeColor="text1"/>
        </w:rPr>
        <w:t xml:space="preserve">es la atención al bienestar integral de la plantilla, abordando tanto la salud física como la dimensión psicológica. </w:t>
      </w:r>
      <w:r w:rsidR="00D72D01">
        <w:rPr>
          <w:rFonts w:ascii="Arial" w:eastAsia="Arial" w:hAnsi="Arial" w:cs="Arial"/>
          <w:color w:val="000000" w:themeColor="text1"/>
        </w:rPr>
        <w:t xml:space="preserve">En este sentido, </w:t>
      </w:r>
      <w:r>
        <w:rPr>
          <w:rFonts w:ascii="Arial" w:eastAsia="Arial" w:hAnsi="Arial" w:cs="Arial"/>
          <w:color w:val="000000" w:themeColor="text1"/>
        </w:rPr>
        <w:t>dispone de</w:t>
      </w:r>
      <w:r w:rsidRPr="009916D9">
        <w:rPr>
          <w:rFonts w:ascii="Arial" w:eastAsia="Arial" w:hAnsi="Arial" w:cs="Arial"/>
          <w:color w:val="000000" w:themeColor="text1"/>
        </w:rPr>
        <w:t xml:space="preserve"> diversas iniciativas como un servicio de atención psicológica 24/7 y los "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My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 Focus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Days</w:t>
      </w:r>
      <w:proofErr w:type="spellEnd"/>
      <w:r w:rsidRPr="009916D9">
        <w:rPr>
          <w:rFonts w:ascii="Arial" w:eastAsia="Arial" w:hAnsi="Arial" w:cs="Arial"/>
          <w:color w:val="000000" w:themeColor="text1"/>
        </w:rPr>
        <w:t>"</w:t>
      </w:r>
      <w:r w:rsidR="00D72D01">
        <w:rPr>
          <w:rFonts w:ascii="Arial" w:eastAsia="Arial" w:hAnsi="Arial" w:cs="Arial"/>
          <w:color w:val="000000" w:themeColor="text1"/>
        </w:rPr>
        <w:t xml:space="preserve"> específicos de Allianz Seguros</w:t>
      </w:r>
      <w:r w:rsidRPr="009916D9">
        <w:rPr>
          <w:rFonts w:ascii="Arial" w:eastAsia="Arial" w:hAnsi="Arial" w:cs="Arial"/>
          <w:color w:val="000000" w:themeColor="text1"/>
        </w:rPr>
        <w:t xml:space="preserve">, </w:t>
      </w:r>
      <w:r w:rsidR="00D72D01">
        <w:rPr>
          <w:rFonts w:ascii="Arial" w:eastAsia="Arial" w:hAnsi="Arial" w:cs="Arial"/>
          <w:color w:val="000000" w:themeColor="text1"/>
        </w:rPr>
        <w:t xml:space="preserve">que son </w:t>
      </w:r>
      <w:r w:rsidRPr="009916D9">
        <w:rPr>
          <w:rFonts w:ascii="Arial" w:eastAsia="Arial" w:hAnsi="Arial" w:cs="Arial"/>
          <w:color w:val="000000" w:themeColor="text1"/>
        </w:rPr>
        <w:t>días sin reuniones que permiten a los empleados concentrarse en sus tareas sin interrupciones</w:t>
      </w:r>
      <w:r w:rsidR="00550EF2">
        <w:rPr>
          <w:rFonts w:ascii="Arial" w:eastAsia="Arial" w:hAnsi="Arial" w:cs="Arial"/>
          <w:color w:val="000000" w:themeColor="text1"/>
        </w:rPr>
        <w:t xml:space="preserve">. </w:t>
      </w:r>
    </w:p>
    <w:p w14:paraId="58526BBE" w14:textId="77777777" w:rsidR="00550EF2" w:rsidRDefault="00550EF2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7F4FE7EF" w14:textId="753A5FD4" w:rsidR="00550EF2" w:rsidRPr="009B7EF2" w:rsidRDefault="00550EF2" w:rsidP="00550EF2">
      <w:pPr>
        <w:spacing w:line="276" w:lineRule="auto"/>
        <w:ind w:right="282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Por otra parte, </w:t>
      </w:r>
      <w:r w:rsidR="00BA16A0">
        <w:rPr>
          <w:rFonts w:ascii="Arial" w:eastAsia="Times New Roman" w:hAnsi="Arial" w:cs="Arial"/>
          <w:lang w:eastAsia="de-DE"/>
        </w:rPr>
        <w:t xml:space="preserve">la firme defensa de </w:t>
      </w:r>
      <w:r w:rsidRPr="663F6EF5">
        <w:rPr>
          <w:rFonts w:ascii="Arial" w:eastAsia="Times New Roman" w:hAnsi="Arial" w:cs="Arial"/>
          <w:lang w:eastAsia="de-DE"/>
        </w:rPr>
        <w:t xml:space="preserve">Allianz </w:t>
      </w:r>
      <w:r w:rsidR="00BA16A0">
        <w:rPr>
          <w:rFonts w:ascii="Arial" w:eastAsia="Times New Roman" w:hAnsi="Arial" w:cs="Arial"/>
          <w:lang w:eastAsia="de-DE"/>
        </w:rPr>
        <w:t xml:space="preserve">de un entorno diverso se pone de manifiesto en acciones pioneras como la reciente firma de </w:t>
      </w:r>
      <w:r w:rsidRPr="663F6EF5">
        <w:rPr>
          <w:rFonts w:ascii="Arial" w:eastAsia="Times New Roman" w:hAnsi="Arial" w:cs="Arial"/>
          <w:lang w:eastAsia="de-DE"/>
        </w:rPr>
        <w:t xml:space="preserve">un acuerdo, junto con la representación de sus empleados, para implementar medidas y recursos destinados a lograr la igualdad real y efectiva, así como garantizar los derechos de las personas del colectivo LGTBIQ+, en la compañía. </w:t>
      </w:r>
    </w:p>
    <w:p w14:paraId="08E035CE" w14:textId="77777777" w:rsidR="00550EF2" w:rsidRDefault="00550EF2" w:rsidP="00550EF2">
      <w:pPr>
        <w:spacing w:line="276" w:lineRule="auto"/>
        <w:ind w:right="282"/>
        <w:jc w:val="both"/>
        <w:rPr>
          <w:rFonts w:ascii="Arial" w:eastAsia="Times New Roman" w:hAnsi="Arial" w:cs="Arial"/>
          <w:lang w:eastAsia="de-DE"/>
        </w:rPr>
      </w:pPr>
      <w:bookmarkStart w:id="0" w:name="_Hlk166056968"/>
      <w:r w:rsidRPr="159CF4C9">
        <w:rPr>
          <w:rFonts w:ascii="Arial" w:eastAsia="Times New Roman" w:hAnsi="Arial" w:cs="Arial"/>
          <w:lang w:eastAsia="de-DE"/>
        </w:rPr>
        <w:lastRenderedPageBreak/>
        <w:t>Las medidas contemplan un amplio rango de situaciones relacionadas con la selección, contratación, formación, condiciones de trabajo o reconocimiento del colectivo LGTBIQ+</w:t>
      </w:r>
      <w:bookmarkEnd w:id="0"/>
      <w:r w:rsidRPr="159CF4C9">
        <w:rPr>
          <w:rFonts w:ascii="Arial" w:eastAsia="Times New Roman" w:hAnsi="Arial" w:cs="Arial"/>
          <w:lang w:eastAsia="de-DE"/>
        </w:rPr>
        <w:t>. El protocolo establece acciones preventivas concretas y pautas para identificar situaciones de acoso, así como un procedimiento de actuación y garantías específicas.</w:t>
      </w:r>
    </w:p>
    <w:p w14:paraId="7EDCAAC3" w14:textId="77777777" w:rsidR="00103098" w:rsidRDefault="00103098" w:rsidP="00103098">
      <w:pPr>
        <w:ind w:right="379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3D1AD8BB" w14:textId="49F95FCA" w:rsidR="00103098" w:rsidRPr="0076668B" w:rsidRDefault="00103098" w:rsidP="00103098">
      <w:pPr>
        <w:ind w:right="379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76668B">
        <w:rPr>
          <w:rFonts w:ascii="Arial" w:eastAsia="Arial" w:hAnsi="Arial" w:cs="Arial"/>
          <w:b/>
          <w:bCs/>
          <w:color w:val="000000" w:themeColor="text1"/>
        </w:rPr>
        <w:t xml:space="preserve">El valor del bienestar </w:t>
      </w:r>
    </w:p>
    <w:p w14:paraId="15B6282B" w14:textId="77777777" w:rsidR="00103098" w:rsidRDefault="00103098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0D14C70A" w14:textId="56D8B3DE" w:rsid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 xml:space="preserve">Asimismo, </w:t>
      </w:r>
      <w:r w:rsidR="00D72D01">
        <w:rPr>
          <w:rFonts w:ascii="Arial" w:eastAsia="Arial" w:hAnsi="Arial" w:cs="Arial"/>
          <w:color w:val="000000" w:themeColor="text1"/>
        </w:rPr>
        <w:t>Allianz Seguros</w:t>
      </w:r>
      <w:r w:rsidRPr="009916D9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dispone d</w:t>
      </w:r>
      <w:r w:rsidRPr="009916D9">
        <w:rPr>
          <w:rFonts w:ascii="Arial" w:eastAsia="Arial" w:hAnsi="Arial" w:cs="Arial"/>
          <w:color w:val="000000" w:themeColor="text1"/>
        </w:rPr>
        <w:t xml:space="preserve">el Allianz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Wellness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 Club, una comunidad interna que promueve el deporte y la alimentación saludable, fomentando hábitos que impactan de manera positiva en el bienestar físico y emocional de los empleados.</w:t>
      </w:r>
    </w:p>
    <w:p w14:paraId="7E1ECB44" w14:textId="77777777" w:rsidR="009916D9" w:rsidRP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71247BA2" w14:textId="26A035F3" w:rsidR="009916D9" w:rsidRP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 xml:space="preserve">En cuanto al desarrollo profesional, Allianz </w:t>
      </w:r>
      <w:r>
        <w:rPr>
          <w:rFonts w:ascii="Arial" w:eastAsia="Arial" w:hAnsi="Arial" w:cs="Arial"/>
          <w:color w:val="000000" w:themeColor="text1"/>
        </w:rPr>
        <w:t>tiene el firme compromiso de fomentar</w:t>
      </w:r>
      <w:r w:rsidRPr="009916D9">
        <w:rPr>
          <w:rFonts w:ascii="Arial" w:eastAsia="Arial" w:hAnsi="Arial" w:cs="Arial"/>
          <w:color w:val="000000" w:themeColor="text1"/>
        </w:rPr>
        <w:t xml:space="preserve"> el crecimiento continuo de sus colaboradores, facilitando herramientas y recursos para su formación. A través del programa "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One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Hour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Learning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", los empleados dedican una hora semanal al aprendizaje, y cuentan con acceso gratuito a LinkedIn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Learning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. </w:t>
      </w:r>
      <w:r>
        <w:rPr>
          <w:rFonts w:ascii="Arial" w:eastAsia="Arial" w:hAnsi="Arial" w:cs="Arial"/>
          <w:color w:val="000000" w:themeColor="text1"/>
        </w:rPr>
        <w:t>Allianz</w:t>
      </w:r>
      <w:r w:rsidRPr="009916D9">
        <w:rPr>
          <w:rFonts w:ascii="Arial" w:eastAsia="Arial" w:hAnsi="Arial" w:cs="Arial"/>
          <w:color w:val="000000" w:themeColor="text1"/>
        </w:rPr>
        <w:t xml:space="preserve"> también financia programas formativos y de </w:t>
      </w:r>
      <w:proofErr w:type="spellStart"/>
      <w:r w:rsidRPr="009916D9">
        <w:rPr>
          <w:rFonts w:ascii="Arial" w:eastAsia="Arial" w:hAnsi="Arial" w:cs="Arial"/>
          <w:color w:val="000000" w:themeColor="text1"/>
        </w:rPr>
        <w:t>mentoring</w:t>
      </w:r>
      <w:proofErr w:type="spellEnd"/>
      <w:r w:rsidRPr="009916D9">
        <w:rPr>
          <w:rFonts w:ascii="Arial" w:eastAsia="Arial" w:hAnsi="Arial" w:cs="Arial"/>
          <w:color w:val="000000" w:themeColor="text1"/>
        </w:rPr>
        <w:t xml:space="preserve">, y para los líderes, el programa global #Lead </w:t>
      </w:r>
      <w:proofErr w:type="gramStart"/>
      <w:r w:rsidRPr="009916D9">
        <w:rPr>
          <w:rFonts w:ascii="Arial" w:eastAsia="Arial" w:hAnsi="Arial" w:cs="Arial"/>
          <w:color w:val="000000" w:themeColor="text1"/>
        </w:rPr>
        <w:t>les</w:t>
      </w:r>
      <w:proofErr w:type="gramEnd"/>
      <w:r w:rsidRPr="009916D9">
        <w:rPr>
          <w:rFonts w:ascii="Arial" w:eastAsia="Arial" w:hAnsi="Arial" w:cs="Arial"/>
          <w:color w:val="000000" w:themeColor="text1"/>
        </w:rPr>
        <w:t xml:space="preserve"> prepara para asumir roles estratégicos en un futuro cercano.</w:t>
      </w:r>
    </w:p>
    <w:p w14:paraId="03A28504" w14:textId="77777777" w:rsidR="00537747" w:rsidRDefault="00537747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1FA7EE1D" w14:textId="7C131892" w:rsidR="009916D9" w:rsidRP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>Además,</w:t>
      </w:r>
      <w:r>
        <w:rPr>
          <w:rFonts w:ascii="Arial" w:eastAsia="Arial" w:hAnsi="Arial" w:cs="Arial"/>
          <w:color w:val="000000" w:themeColor="text1"/>
        </w:rPr>
        <w:t xml:space="preserve"> to</w:t>
      </w:r>
      <w:r w:rsidRPr="009916D9">
        <w:rPr>
          <w:rFonts w:ascii="Arial" w:eastAsia="Arial" w:hAnsi="Arial" w:cs="Arial"/>
          <w:color w:val="000000" w:themeColor="text1"/>
        </w:rPr>
        <w:t>dos los empleados cuentan con una retribución variable vinculada al desempeño, asegurando que cada contribución individual sea valorada y reconocida.</w:t>
      </w:r>
    </w:p>
    <w:p w14:paraId="0866968C" w14:textId="77777777" w:rsidR="009916D9" w:rsidRPr="009916D9" w:rsidRDefault="009916D9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 w:rsidRPr="009916D9">
        <w:rPr>
          <w:rFonts w:ascii="Arial" w:eastAsia="Arial" w:hAnsi="Arial" w:cs="Arial"/>
          <w:color w:val="000000" w:themeColor="text1"/>
        </w:rPr>
        <w:t>Con este enfoque, Allianz no solo transforma su manera de trabajar, sino que se posiciona como un referente en la creación de un entorno laboral inclusivo, saludable y orientado al desarrollo de las personas que forman parte de su equipo.</w:t>
      </w:r>
    </w:p>
    <w:p w14:paraId="3F5EEF44" w14:textId="77777777" w:rsidR="009916D9" w:rsidRDefault="009916D9" w:rsidP="56ADF488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1096E410" w14:textId="5B3F0BF2" w:rsidR="00302332" w:rsidRDefault="73BDC82A" w:rsidP="56ADF488">
      <w:pPr>
        <w:spacing w:after="20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>Sobre Allianz Seguros</w:t>
      </w:r>
    </w:p>
    <w:p w14:paraId="138D0BA2" w14:textId="16C25086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eCliente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de la web corporativa, y sus más de 500.000 SMS enviados anualmente a sus clientes). </w:t>
      </w:r>
    </w:p>
    <w:p w14:paraId="715151F4" w14:textId="137758B4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35218E65" w14:textId="29355BFA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Multirriesgos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para empresas y comercios, hasta las soluciones aseguradoras personalizadas más complejas.</w:t>
      </w:r>
    </w:p>
    <w:p w14:paraId="144683DD" w14:textId="77777777" w:rsidR="0076668B" w:rsidRDefault="0076668B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4EC090B2" w14:textId="085B6FEA" w:rsidR="0076668B" w:rsidRDefault="0076668B" w:rsidP="0076668B">
      <w:pPr>
        <w:spacing w:after="200" w:line="276" w:lineRule="auto"/>
        <w:ind w:right="348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A46672">
        <w:rPr>
          <w:rFonts w:ascii="Arial" w:eastAsia="Arial" w:hAnsi="Arial" w:cs="Arial"/>
          <w:b/>
          <w:bCs/>
          <w:color w:val="000000" w:themeColor="text1"/>
        </w:rPr>
        <w:t>Sobre Allianz Commercial</w:t>
      </w:r>
    </w:p>
    <w:p w14:paraId="2FB07229" w14:textId="6E888463" w:rsidR="00D72D01" w:rsidRPr="00D72D01" w:rsidRDefault="00D72D01" w:rsidP="00D72D01">
      <w:pPr>
        <w:spacing w:after="200" w:line="276" w:lineRule="auto"/>
        <w:ind w:right="348"/>
        <w:jc w:val="both"/>
        <w:rPr>
          <w:rFonts w:ascii="Arial" w:eastAsia="Arial" w:hAnsi="Arial" w:cs="Arial"/>
          <w:bCs/>
          <w:color w:val="000000" w:themeColor="text1"/>
        </w:rPr>
      </w:pPr>
      <w:hyperlink r:id="rId11" w:history="1">
        <w:r w:rsidRPr="00D72D01">
          <w:rPr>
            <w:rStyle w:val="Hipervnculo"/>
            <w:rFonts w:ascii="Arial" w:eastAsia="Arial" w:hAnsi="Arial" w:cs="Arial"/>
            <w:bCs/>
          </w:rPr>
          <w:t>Allianz Commercial</w:t>
        </w:r>
      </w:hyperlink>
      <w:r w:rsidRPr="00D72D01">
        <w:rPr>
          <w:rFonts w:ascii="Arial" w:eastAsia="Arial" w:hAnsi="Arial" w:cs="Arial"/>
          <w:bCs/>
          <w:color w:val="000000" w:themeColor="text1"/>
        </w:rPr>
        <w:t xml:space="preserve"> es la línea global de Grupo Allianz para asegurar medianas y grandes empresas además de riesgos especializados. Entre nuestros clientes se encuentran las mayores marcas de consumo del mundo, instituciones financieras y actores del sector, la </w:t>
      </w:r>
      <w:r w:rsidRPr="00D72D01">
        <w:rPr>
          <w:rFonts w:ascii="Arial" w:eastAsia="Arial" w:hAnsi="Arial" w:cs="Arial"/>
          <w:bCs/>
          <w:color w:val="000000" w:themeColor="text1"/>
        </w:rPr>
        <w:lastRenderedPageBreak/>
        <w:t xml:space="preserve">industria mundial de la aviación y el transporte marítimo, así como empresas familiares y medianas empresas que son la columna vertebral de la economía. También cubrimos riesgos únicos, como parques eólicos marinos, proyectos de infraestructuras o producciones cinematográficas de Hollywood.  Impulsados por los empleados, la solidez financiera y la red de la marca de seguros número 1 del mundo, </w:t>
      </w:r>
      <w:hyperlink r:id="rId12" w:history="1">
        <w:r w:rsidRPr="00D72D01">
          <w:rPr>
            <w:rStyle w:val="Hipervnculo"/>
            <w:rFonts w:ascii="Arial" w:eastAsia="Arial" w:hAnsi="Arial" w:cs="Arial"/>
            <w:bCs/>
          </w:rPr>
          <w:t xml:space="preserve">según </w:t>
        </w:r>
        <w:proofErr w:type="spellStart"/>
        <w:r w:rsidRPr="00D72D01">
          <w:rPr>
            <w:rStyle w:val="Hipervnculo"/>
            <w:rFonts w:ascii="Arial" w:eastAsia="Arial" w:hAnsi="Arial" w:cs="Arial"/>
            <w:bCs/>
          </w:rPr>
          <w:t>Interbrand</w:t>
        </w:r>
        <w:proofErr w:type="spellEnd"/>
      </w:hyperlink>
      <w:r w:rsidRPr="00D72D01">
        <w:rPr>
          <w:rFonts w:ascii="Arial" w:eastAsia="Arial" w:hAnsi="Arial" w:cs="Arial"/>
          <w:bCs/>
          <w:color w:val="000000" w:themeColor="text1"/>
        </w:rPr>
        <w:t>, trabajamos juntos para ayudar a nuestros clientes a prepararse para el futuro: confían en nosotros para ofrecerles una amplia gama de soluciones tradicionales y alternativas de transferencia de riesgos, una excelente consultoría de riesgos y servicios multinacionales y una completa gestión de siniestros.</w:t>
      </w:r>
    </w:p>
    <w:p w14:paraId="032C8BDD" w14:textId="77777777" w:rsidR="00D72D01" w:rsidRPr="00D72D01" w:rsidRDefault="00D72D01" w:rsidP="00D72D01">
      <w:pPr>
        <w:spacing w:after="200" w:line="276" w:lineRule="auto"/>
        <w:ind w:right="348"/>
        <w:jc w:val="both"/>
        <w:rPr>
          <w:rFonts w:ascii="Arial" w:eastAsia="Arial" w:hAnsi="Arial" w:cs="Arial"/>
          <w:bCs/>
          <w:color w:val="000000" w:themeColor="text1"/>
        </w:rPr>
      </w:pPr>
      <w:r w:rsidRPr="00D72D01">
        <w:rPr>
          <w:rFonts w:ascii="Arial" w:eastAsia="Arial" w:hAnsi="Arial" w:cs="Arial"/>
          <w:bCs/>
          <w:color w:val="000000" w:themeColor="text1"/>
        </w:rPr>
        <w:t xml:space="preserve">Allianz Commercial agrupa el negocio de seguros para grandes empresas de Allianz Global </w:t>
      </w:r>
      <w:proofErr w:type="spellStart"/>
      <w:r w:rsidRPr="00D72D01">
        <w:rPr>
          <w:rFonts w:ascii="Arial" w:eastAsia="Arial" w:hAnsi="Arial" w:cs="Arial"/>
          <w:bCs/>
          <w:color w:val="000000" w:themeColor="text1"/>
        </w:rPr>
        <w:t>Corporate</w:t>
      </w:r>
      <w:proofErr w:type="spellEnd"/>
      <w:r w:rsidRPr="00D72D01">
        <w:rPr>
          <w:rFonts w:ascii="Arial" w:eastAsia="Arial" w:hAnsi="Arial" w:cs="Arial"/>
          <w:bCs/>
          <w:color w:val="000000" w:themeColor="text1"/>
        </w:rPr>
        <w:t xml:space="preserve"> &amp; Specialty (AGCS) y el negocio de seguros comerciales de Allianz </w:t>
      </w:r>
      <w:proofErr w:type="spellStart"/>
      <w:r w:rsidRPr="00D72D01">
        <w:rPr>
          <w:rFonts w:ascii="Arial" w:eastAsia="Arial" w:hAnsi="Arial" w:cs="Arial"/>
          <w:bCs/>
          <w:color w:val="000000" w:themeColor="text1"/>
        </w:rPr>
        <w:t>Property</w:t>
      </w:r>
      <w:proofErr w:type="spellEnd"/>
      <w:r w:rsidRPr="00D72D01">
        <w:rPr>
          <w:rFonts w:ascii="Arial" w:eastAsia="Arial" w:hAnsi="Arial" w:cs="Arial"/>
          <w:bCs/>
          <w:color w:val="000000" w:themeColor="text1"/>
        </w:rPr>
        <w:t xml:space="preserve"> &amp; </w:t>
      </w:r>
      <w:proofErr w:type="spellStart"/>
      <w:r w:rsidRPr="00D72D01">
        <w:rPr>
          <w:rFonts w:ascii="Arial" w:eastAsia="Arial" w:hAnsi="Arial" w:cs="Arial"/>
          <w:bCs/>
          <w:color w:val="000000" w:themeColor="text1"/>
        </w:rPr>
        <w:t>Casualty</w:t>
      </w:r>
      <w:proofErr w:type="spellEnd"/>
      <w:r w:rsidRPr="00D72D01">
        <w:rPr>
          <w:rFonts w:ascii="Arial" w:eastAsia="Arial" w:hAnsi="Arial" w:cs="Arial"/>
          <w:bCs/>
          <w:color w:val="000000" w:themeColor="text1"/>
        </w:rPr>
        <w:t xml:space="preserve"> que atiende a medianas empresas. Estamos presentes en más de 200 países y territorios, ya sea a través de nuestros propios equipos o de la red del Grupo Allianz y sus socios. En 2023, el negocio integrado de Allianz Commercial generó más de 18.000 millones de euros de primas brutas en todo el mundo.</w:t>
      </w:r>
    </w:p>
    <w:p w14:paraId="5EFE6284" w14:textId="77777777" w:rsidR="00D72D01" w:rsidRPr="00D72D01" w:rsidRDefault="00D72D01" w:rsidP="00D72D01">
      <w:pPr>
        <w:spacing w:after="200" w:line="276" w:lineRule="auto"/>
        <w:ind w:right="348"/>
        <w:jc w:val="both"/>
        <w:rPr>
          <w:rFonts w:ascii="Arial" w:eastAsia="Arial" w:hAnsi="Arial" w:cs="Arial"/>
          <w:bCs/>
          <w:color w:val="000000" w:themeColor="text1"/>
        </w:rPr>
      </w:pPr>
    </w:p>
    <w:p w14:paraId="415FF356" w14:textId="1D3DF1AB" w:rsidR="00302332" w:rsidRDefault="00302332" w:rsidP="56ADF488">
      <w:pPr>
        <w:spacing w:after="0" w:line="240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0616F62E" w14:textId="34C06E2B" w:rsidR="00302332" w:rsidRPr="00A46672" w:rsidRDefault="00302332" w:rsidP="56ADF488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74975CC4" w14:textId="0B07AEFC" w:rsidR="00302332" w:rsidRPr="00A4667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A46672">
        <w:rPr>
          <w:rFonts w:ascii="Arial" w:eastAsia="Arial" w:hAnsi="Arial" w:cs="Arial"/>
          <w:b/>
          <w:bCs/>
          <w:color w:val="000000" w:themeColor="text1"/>
        </w:rPr>
        <w:t>Para más información:</w:t>
      </w:r>
    </w:p>
    <w:p w14:paraId="7C74A87A" w14:textId="2096FB80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Sonia Rodríguez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color w:val="000000" w:themeColor="text1"/>
        </w:rPr>
        <w:t>Tel. 91.596.00.66</w:t>
      </w:r>
    </w:p>
    <w:p w14:paraId="3FE2A21E" w14:textId="0F265056" w:rsidR="00302332" w:rsidRDefault="73BDC82A" w:rsidP="56ADF488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 xml:space="preserve">Laura Gallach 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>Tel. 93.228.67.83</w:t>
      </w:r>
    </w:p>
    <w:p w14:paraId="3CC7EE2B" w14:textId="4AA23463" w:rsidR="00F43C57" w:rsidRPr="00F43C57" w:rsidRDefault="00F43C57" w:rsidP="00F43C57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00A46672">
        <w:rPr>
          <w:rFonts w:ascii="Arial" w:eastAsia="Arial" w:hAnsi="Arial" w:cs="Arial"/>
          <w:i w:val="0"/>
          <w:iCs w:val="0"/>
          <w:color w:val="000000" w:themeColor="text1"/>
        </w:rPr>
        <w:t>Laura Llauradó</w:t>
      </w:r>
      <w:r>
        <w:rPr>
          <w:rFonts w:ascii="Arial" w:eastAsia="Arial" w:hAnsi="Arial" w:cs="Arial"/>
          <w:i w:val="0"/>
          <w:iCs w:val="0"/>
          <w:color w:val="000000" w:themeColor="text1"/>
        </w:rPr>
        <w:tab/>
      </w:r>
      <w:r>
        <w:rPr>
          <w:rFonts w:ascii="Arial" w:eastAsia="Arial" w:hAnsi="Arial" w:cs="Arial"/>
          <w:i w:val="0"/>
          <w:iCs w:val="0"/>
          <w:color w:val="000000" w:themeColor="text1"/>
        </w:rPr>
        <w:tab/>
        <w:t xml:space="preserve">Tel. </w:t>
      </w:r>
      <w:r w:rsidRPr="00F43C57">
        <w:rPr>
          <w:rFonts w:ascii="Arial" w:eastAsia="Arial" w:hAnsi="Arial" w:cs="Arial"/>
          <w:i w:val="0"/>
          <w:iCs w:val="0"/>
          <w:color w:val="000000" w:themeColor="text1"/>
          <w:lang w:val="it-IT"/>
        </w:rPr>
        <w:t>660</w:t>
      </w:r>
      <w:r>
        <w:rPr>
          <w:rFonts w:ascii="Arial" w:eastAsia="Arial" w:hAnsi="Arial" w:cs="Arial"/>
          <w:i w:val="0"/>
          <w:iCs w:val="0"/>
          <w:color w:val="000000" w:themeColor="text1"/>
          <w:lang w:val="it-IT"/>
        </w:rPr>
        <w:t>.</w:t>
      </w:r>
      <w:r w:rsidRPr="00F43C57">
        <w:rPr>
          <w:rFonts w:ascii="Arial" w:eastAsia="Arial" w:hAnsi="Arial" w:cs="Arial"/>
          <w:i w:val="0"/>
          <w:iCs w:val="0"/>
          <w:color w:val="000000" w:themeColor="text1"/>
          <w:lang w:val="it-IT"/>
        </w:rPr>
        <w:t>999</w:t>
      </w:r>
      <w:r>
        <w:rPr>
          <w:rFonts w:ascii="Arial" w:eastAsia="Arial" w:hAnsi="Arial" w:cs="Arial"/>
          <w:i w:val="0"/>
          <w:iCs w:val="0"/>
          <w:color w:val="000000" w:themeColor="text1"/>
          <w:lang w:val="it-IT"/>
        </w:rPr>
        <w:t>.</w:t>
      </w:r>
      <w:r w:rsidRPr="00F43C57">
        <w:rPr>
          <w:rFonts w:ascii="Arial" w:eastAsia="Arial" w:hAnsi="Arial" w:cs="Arial"/>
          <w:i w:val="0"/>
          <w:iCs w:val="0"/>
          <w:color w:val="000000" w:themeColor="text1"/>
          <w:lang w:val="it-IT"/>
        </w:rPr>
        <w:t>650</w:t>
      </w:r>
    </w:p>
    <w:p w14:paraId="1A694EC2" w14:textId="1F32F71D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0AF1CB0" w14:textId="021151BA" w:rsidR="00302332" w:rsidRDefault="00302332" w:rsidP="56ADF488">
      <w:pPr>
        <w:spacing w:after="0" w:line="240" w:lineRule="auto"/>
        <w:ind w:right="425"/>
        <w:jc w:val="both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14:paraId="5C1A07E2" w14:textId="424786A4" w:rsidR="00302332" w:rsidRDefault="00302332" w:rsidP="56ADF488"/>
    <w:sectPr w:rsidR="00302332">
      <w:head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6716A" w14:textId="77777777" w:rsidR="0075009B" w:rsidRDefault="0075009B" w:rsidP="00854362">
      <w:pPr>
        <w:spacing w:after="0" w:line="240" w:lineRule="auto"/>
      </w:pPr>
      <w:r>
        <w:separator/>
      </w:r>
    </w:p>
  </w:endnote>
  <w:endnote w:type="continuationSeparator" w:id="0">
    <w:p w14:paraId="2C712DFC" w14:textId="77777777" w:rsidR="0075009B" w:rsidRDefault="0075009B" w:rsidP="008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1373B" w14:textId="77777777" w:rsidR="0075009B" w:rsidRDefault="0075009B" w:rsidP="00854362">
      <w:pPr>
        <w:spacing w:after="0" w:line="240" w:lineRule="auto"/>
      </w:pPr>
      <w:r>
        <w:separator/>
      </w:r>
    </w:p>
  </w:footnote>
  <w:footnote w:type="continuationSeparator" w:id="0">
    <w:p w14:paraId="68C4FB0A" w14:textId="77777777" w:rsidR="0075009B" w:rsidRDefault="0075009B" w:rsidP="0085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542D4" w14:textId="1EDBCFDB" w:rsidR="00D4236F" w:rsidRDefault="00D4236F">
    <w:pPr>
      <w:pStyle w:val="Encabezado"/>
    </w:pPr>
    <w:r>
      <w:rPr>
        <w:noProof/>
      </w:rPr>
      <w:drawing>
        <wp:inline distT="0" distB="0" distL="0" distR="0" wp14:anchorId="673F6F63" wp14:editId="177FDA06">
          <wp:extent cx="1438910" cy="359410"/>
          <wp:effectExtent l="0" t="0" r="889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532029" w14:textId="77777777" w:rsidR="00D4236F" w:rsidRDefault="00D423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267DA"/>
    <w:multiLevelType w:val="hybridMultilevel"/>
    <w:tmpl w:val="DB340336"/>
    <w:lvl w:ilvl="0" w:tplc="718EA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C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A9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D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1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9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67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72EA55"/>
    <w:rsid w:val="00063BB0"/>
    <w:rsid w:val="000E6562"/>
    <w:rsid w:val="00103098"/>
    <w:rsid w:val="00145072"/>
    <w:rsid w:val="001542DB"/>
    <w:rsid w:val="001D0DF4"/>
    <w:rsid w:val="00256C16"/>
    <w:rsid w:val="002B0A6D"/>
    <w:rsid w:val="002F469F"/>
    <w:rsid w:val="00302332"/>
    <w:rsid w:val="0030442A"/>
    <w:rsid w:val="003511CB"/>
    <w:rsid w:val="00367292"/>
    <w:rsid w:val="003B7BBF"/>
    <w:rsid w:val="0040661B"/>
    <w:rsid w:val="004A0568"/>
    <w:rsid w:val="00537747"/>
    <w:rsid w:val="00550EF2"/>
    <w:rsid w:val="00563059"/>
    <w:rsid w:val="006060B6"/>
    <w:rsid w:val="0075009B"/>
    <w:rsid w:val="0076668B"/>
    <w:rsid w:val="007E0382"/>
    <w:rsid w:val="00854362"/>
    <w:rsid w:val="00857EA8"/>
    <w:rsid w:val="008668EC"/>
    <w:rsid w:val="009916D9"/>
    <w:rsid w:val="00A46672"/>
    <w:rsid w:val="00A6420D"/>
    <w:rsid w:val="00A70AF9"/>
    <w:rsid w:val="00A851AE"/>
    <w:rsid w:val="00AA4A1A"/>
    <w:rsid w:val="00AC0ED3"/>
    <w:rsid w:val="00B434E1"/>
    <w:rsid w:val="00B6357D"/>
    <w:rsid w:val="00BA16A0"/>
    <w:rsid w:val="00BB1E3F"/>
    <w:rsid w:val="00BF574D"/>
    <w:rsid w:val="00C21454"/>
    <w:rsid w:val="00C5098C"/>
    <w:rsid w:val="00C5213F"/>
    <w:rsid w:val="00C6139F"/>
    <w:rsid w:val="00C907E9"/>
    <w:rsid w:val="00C9081D"/>
    <w:rsid w:val="00CF0827"/>
    <w:rsid w:val="00D4236F"/>
    <w:rsid w:val="00D62A58"/>
    <w:rsid w:val="00D72D01"/>
    <w:rsid w:val="00DF3A95"/>
    <w:rsid w:val="00E371A0"/>
    <w:rsid w:val="00E466E8"/>
    <w:rsid w:val="00EC40D6"/>
    <w:rsid w:val="00EC6B80"/>
    <w:rsid w:val="00F055C4"/>
    <w:rsid w:val="00F43C57"/>
    <w:rsid w:val="00F5411F"/>
    <w:rsid w:val="00F560B6"/>
    <w:rsid w:val="0116D7A3"/>
    <w:rsid w:val="035C5BA9"/>
    <w:rsid w:val="085DCAE2"/>
    <w:rsid w:val="0981DE01"/>
    <w:rsid w:val="0A0C28CE"/>
    <w:rsid w:val="0A215366"/>
    <w:rsid w:val="0BFE4025"/>
    <w:rsid w:val="0CD2F80C"/>
    <w:rsid w:val="0D0756A4"/>
    <w:rsid w:val="0D43C990"/>
    <w:rsid w:val="0EF83735"/>
    <w:rsid w:val="0F608955"/>
    <w:rsid w:val="10E4B287"/>
    <w:rsid w:val="11C14656"/>
    <w:rsid w:val="130A36F9"/>
    <w:rsid w:val="1310EA1C"/>
    <w:rsid w:val="1399E2B7"/>
    <w:rsid w:val="15163D5A"/>
    <w:rsid w:val="15C71FB9"/>
    <w:rsid w:val="15CF52CE"/>
    <w:rsid w:val="1672C4E1"/>
    <w:rsid w:val="16D134BF"/>
    <w:rsid w:val="175E8634"/>
    <w:rsid w:val="17C12DB7"/>
    <w:rsid w:val="186F9977"/>
    <w:rsid w:val="192FF26D"/>
    <w:rsid w:val="1972EA55"/>
    <w:rsid w:val="1ABCFFB9"/>
    <w:rsid w:val="1C31A501"/>
    <w:rsid w:val="1C9CFC02"/>
    <w:rsid w:val="1DE3350F"/>
    <w:rsid w:val="1F435681"/>
    <w:rsid w:val="1F82DBF4"/>
    <w:rsid w:val="20EBEDC7"/>
    <w:rsid w:val="2475A2BE"/>
    <w:rsid w:val="24D3897D"/>
    <w:rsid w:val="257B3580"/>
    <w:rsid w:val="258ECD71"/>
    <w:rsid w:val="25916549"/>
    <w:rsid w:val="25BF5EEA"/>
    <w:rsid w:val="25ED641E"/>
    <w:rsid w:val="267BCEEE"/>
    <w:rsid w:val="269D460F"/>
    <w:rsid w:val="286CE6F5"/>
    <w:rsid w:val="28BAFC16"/>
    <w:rsid w:val="28EB31BF"/>
    <w:rsid w:val="292504E0"/>
    <w:rsid w:val="294D5401"/>
    <w:rsid w:val="2B42CB01"/>
    <w:rsid w:val="2C6B5CDD"/>
    <w:rsid w:val="2C763D3E"/>
    <w:rsid w:val="2D57E11F"/>
    <w:rsid w:val="2EB66214"/>
    <w:rsid w:val="2F94B5A3"/>
    <w:rsid w:val="2FE67C1B"/>
    <w:rsid w:val="30B975C2"/>
    <w:rsid w:val="32E57EC2"/>
    <w:rsid w:val="3378E0A8"/>
    <w:rsid w:val="339AA1F0"/>
    <w:rsid w:val="33CD37C9"/>
    <w:rsid w:val="34A0C4E1"/>
    <w:rsid w:val="37302AC3"/>
    <w:rsid w:val="383E5E7B"/>
    <w:rsid w:val="39743604"/>
    <w:rsid w:val="399A28A2"/>
    <w:rsid w:val="3CB1C2A9"/>
    <w:rsid w:val="3EA90FCF"/>
    <w:rsid w:val="3F1D3EF9"/>
    <w:rsid w:val="440EDB3D"/>
    <w:rsid w:val="4591A7DD"/>
    <w:rsid w:val="45AAAB9E"/>
    <w:rsid w:val="475BF04E"/>
    <w:rsid w:val="4955D468"/>
    <w:rsid w:val="4957257C"/>
    <w:rsid w:val="4A68A2DF"/>
    <w:rsid w:val="4AC3AB28"/>
    <w:rsid w:val="4ACF4503"/>
    <w:rsid w:val="4B09A20E"/>
    <w:rsid w:val="4C732970"/>
    <w:rsid w:val="4D3AF67C"/>
    <w:rsid w:val="4F571516"/>
    <w:rsid w:val="50EADCE7"/>
    <w:rsid w:val="50FABB3B"/>
    <w:rsid w:val="5208D53A"/>
    <w:rsid w:val="52233E98"/>
    <w:rsid w:val="53F44E72"/>
    <w:rsid w:val="55C8BCEE"/>
    <w:rsid w:val="56ADF488"/>
    <w:rsid w:val="5740FB3C"/>
    <w:rsid w:val="5779DE1E"/>
    <w:rsid w:val="57D4D79E"/>
    <w:rsid w:val="58C7BF95"/>
    <w:rsid w:val="59104437"/>
    <w:rsid w:val="5AA50EF5"/>
    <w:rsid w:val="5D051C04"/>
    <w:rsid w:val="5D902760"/>
    <w:rsid w:val="5D9B30B8"/>
    <w:rsid w:val="5DF3FCCC"/>
    <w:rsid w:val="5FE4F153"/>
    <w:rsid w:val="6221A583"/>
    <w:rsid w:val="6255797E"/>
    <w:rsid w:val="6370B1B6"/>
    <w:rsid w:val="6433B2A2"/>
    <w:rsid w:val="64E29848"/>
    <w:rsid w:val="65A834B7"/>
    <w:rsid w:val="67C275CC"/>
    <w:rsid w:val="68C0E631"/>
    <w:rsid w:val="69A4FB5D"/>
    <w:rsid w:val="6A186B06"/>
    <w:rsid w:val="6A20DC19"/>
    <w:rsid w:val="6A8468A8"/>
    <w:rsid w:val="6C639567"/>
    <w:rsid w:val="6CB5D66D"/>
    <w:rsid w:val="7073D4A5"/>
    <w:rsid w:val="70C3251B"/>
    <w:rsid w:val="7100DF6A"/>
    <w:rsid w:val="7169318A"/>
    <w:rsid w:val="71ED63AC"/>
    <w:rsid w:val="73BDC82A"/>
    <w:rsid w:val="7505B1CC"/>
    <w:rsid w:val="76B676BB"/>
    <w:rsid w:val="77B8E5EC"/>
    <w:rsid w:val="79221E92"/>
    <w:rsid w:val="7AFC73CE"/>
    <w:rsid w:val="7D9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2EA55"/>
  <w15:chartTrackingRefBased/>
  <w15:docId w15:val="{F0E22117-BD62-4DF2-A7CB-99ED8854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16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DF4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6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5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11F"/>
  </w:style>
  <w:style w:type="paragraph" w:styleId="Piedepgina">
    <w:name w:val="footer"/>
    <w:basedOn w:val="Normal"/>
    <w:link w:val="PiedepginaCar"/>
    <w:uiPriority w:val="99"/>
    <w:unhideWhenUsed/>
    <w:rsid w:val="00F5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11F"/>
  </w:style>
  <w:style w:type="paragraph" w:styleId="Revisin">
    <w:name w:val="Revision"/>
    <w:hidden/>
    <w:uiPriority w:val="99"/>
    <w:semiHidden/>
    <w:rsid w:val="00D72D0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72D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2D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2D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D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D01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7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com/en/about-us/brand/brand-value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ercial.allian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tatus xmlns="9ff07a45-11f5-479e-a441-cd98a86709fe">Sequía</ContractStatu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XU7P7SY2DP3Q-491014520-185318</_dlc_DocId>
    <_dlc_DocIdUrl xmlns="9ff07a45-11f5-479e-a441-cd98a86709fe">
      <Url>https://allianzms.sharepoint.com/teams/ES0006-3163019/_layouts/15/DocIdRedir.aspx?ID=XU7P7SY2DP3Q-491014520-185318</Url>
      <Description>XU7P7SY2DP3Q-491014520-185318</Description>
    </_dlc_DocIdUrl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F12EBB49-5C5D-4999-963B-6F5850D606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ABEB09-8C84-4B4B-8238-C71947977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3D8FE-2243-46FC-A603-687BD7A76B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55E86A-2E17-4267-BC23-9D76F81CF7E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 A)</dc:creator>
  <cp:keywords/>
  <dc:description/>
  <cp:lastModifiedBy>Rodriguez Mosquera, Sonia (Allianz Compania de Seguros y Reaseguros S.A.)</cp:lastModifiedBy>
  <cp:revision>5</cp:revision>
  <dcterms:created xsi:type="dcterms:W3CDTF">2024-10-02T15:42:00Z</dcterms:created>
  <dcterms:modified xsi:type="dcterms:W3CDTF">2024-10-03T07:34:00Z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2022-01-19T14:12:14Z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94573668-fc7b-4652-92d9-0e49ccc4a274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Metadata">
    <vt:lpwstr>b7988hualzfd</vt:lpwstr>
  </property>
  <property fmtid="{D5CDD505-2E9C-101B-9397-08002B2CF9AE}" pid="11" name="OfficeDocumentSecurity_19012022174840">
    <vt:lpwstr>19012022174840;e006418;0</vt:lpwstr>
  </property>
  <property fmtid="{D5CDD505-2E9C-101B-9397-08002B2CF9AE}" pid="12" name="OfficeDocumentSecurity_19012022175916">
    <vt:lpwstr>19012022175916;e006418;0</vt:lpwstr>
  </property>
  <property fmtid="{D5CDD505-2E9C-101B-9397-08002B2CF9AE}" pid="13" name="OfficeDocumentSecurity_19012022180837">
    <vt:lpwstr>19012022180837;e006418;0</vt:lpwstr>
  </property>
  <property fmtid="{D5CDD505-2E9C-101B-9397-08002B2CF9AE}" pid="14" name="OfficeDocumentSecurity_19012022180916">
    <vt:lpwstr>19012022180916;e006418;0</vt:lpwstr>
  </property>
  <property fmtid="{D5CDD505-2E9C-101B-9397-08002B2CF9AE}" pid="15" name="OfficeDocumentSecurity_19012022181344">
    <vt:lpwstr>19012022181344;e006418;0</vt:lpwstr>
  </property>
  <property fmtid="{D5CDD505-2E9C-101B-9397-08002B2CF9AE}" pid="16" name="OfficeDocumentSecurity_19012022181753">
    <vt:lpwstr>19012022181753;e006418;0</vt:lpwstr>
  </property>
  <property fmtid="{D5CDD505-2E9C-101B-9397-08002B2CF9AE}" pid="17" name="OfficeDocumentSecurity_19012022181820">
    <vt:lpwstr>19012022181820;e006418;0</vt:lpwstr>
  </property>
  <property fmtid="{D5CDD505-2E9C-101B-9397-08002B2CF9AE}" pid="18" name="OfficeDocumentSecurity_19012022183713">
    <vt:lpwstr>19012022183713;e006418;0</vt:lpwstr>
  </property>
  <property fmtid="{D5CDD505-2E9C-101B-9397-08002B2CF9AE}" pid="19" name="MediaServiceImageTags">
    <vt:lpwstr/>
  </property>
  <property fmtid="{D5CDD505-2E9C-101B-9397-08002B2CF9AE}" pid="20" name="_dlc_DocIdItemGuid">
    <vt:lpwstr>43111971-dc02-42e2-9af5-1a286e6eabe3</vt:lpwstr>
  </property>
  <property fmtid="{D5CDD505-2E9C-101B-9397-08002B2CF9AE}" pid="21" name="Document_Class">
    <vt:lpwstr/>
  </property>
  <property fmtid="{D5CDD505-2E9C-101B-9397-08002B2CF9AE}" pid="22" name="Contract_Type">
    <vt:lpwstr/>
  </property>
  <property fmtid="{D5CDD505-2E9C-101B-9397-08002B2CF9AE}" pid="23" name="DossierDepartment">
    <vt:lpwstr/>
  </property>
  <property fmtid="{D5CDD505-2E9C-101B-9397-08002B2CF9AE}" pid="24" name="AllianzContractingParties">
    <vt:lpwstr/>
  </property>
  <property fmtid="{D5CDD505-2E9C-101B-9397-08002B2CF9AE}" pid="25" name="b0fe84444e894ab98172082a3d0e58f8">
    <vt:lpwstr/>
  </property>
  <property fmtid="{D5CDD505-2E9C-101B-9397-08002B2CF9AE}" pid="26" name="iccd162ff52447b49ab8f5fd8f2cec1e">
    <vt:lpwstr/>
  </property>
  <property fmtid="{D5CDD505-2E9C-101B-9397-08002B2CF9AE}" pid="27" name="_AdHocReviewCycleID">
    <vt:i4>1546836775</vt:i4>
  </property>
  <property fmtid="{D5CDD505-2E9C-101B-9397-08002B2CF9AE}" pid="28" name="_NewReviewCycle">
    <vt:lpwstr/>
  </property>
  <property fmtid="{D5CDD505-2E9C-101B-9397-08002B2CF9AE}" pid="29" name="_EmailSubject">
    <vt:lpwstr>Nota de prensa GPW</vt:lpwstr>
  </property>
  <property fmtid="{D5CDD505-2E9C-101B-9397-08002B2CF9AE}" pid="30" name="_AuthorEmail">
    <vt:lpwstr>laura.llaurado@allianz.com</vt:lpwstr>
  </property>
  <property fmtid="{D5CDD505-2E9C-101B-9397-08002B2CF9AE}" pid="31" name="_AuthorEmailDisplayName">
    <vt:lpwstr>Llaurado, Laura (Allianz Commercial)</vt:lpwstr>
  </property>
  <property fmtid="{D5CDD505-2E9C-101B-9397-08002B2CF9AE}" pid="32" name="_ReviewingToolsShownOnce">
    <vt:lpwstr/>
  </property>
</Properties>
</file>