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498CA" w14:textId="476E8CAE" w:rsidR="001170FD" w:rsidRDefault="00325F65" w:rsidP="00077BA1">
      <w:pPr>
        <w:autoSpaceDE w:val="0"/>
        <w:autoSpaceDN w:val="0"/>
        <w:adjustRightInd w:val="0"/>
        <w:ind w:right="560"/>
        <w:jc w:val="center"/>
        <w:rPr>
          <w:rFonts w:cs="Arial"/>
          <w:b/>
          <w:bCs/>
          <w:color w:val="000000"/>
          <w:sz w:val="32"/>
          <w:szCs w:val="32"/>
          <w:lang w:eastAsia="es-ES"/>
        </w:rPr>
      </w:pPr>
      <w:r>
        <w:rPr>
          <w:rFonts w:cs="Arial"/>
          <w:b/>
          <w:bCs/>
          <w:color w:val="000000" w:themeColor="text1"/>
          <w:sz w:val="32"/>
          <w:szCs w:val="32"/>
          <w:lang w:eastAsia="es-ES"/>
        </w:rPr>
        <w:t xml:space="preserve">Allianz </w:t>
      </w:r>
      <w:r w:rsidR="009B106D">
        <w:rPr>
          <w:rFonts w:cs="Arial"/>
          <w:b/>
          <w:bCs/>
          <w:color w:val="000000" w:themeColor="text1"/>
          <w:sz w:val="32"/>
          <w:szCs w:val="32"/>
          <w:lang w:eastAsia="es-ES"/>
        </w:rPr>
        <w:t xml:space="preserve">Seguros </w:t>
      </w:r>
      <w:r w:rsidR="00136E6B">
        <w:rPr>
          <w:rFonts w:cs="Arial"/>
          <w:b/>
          <w:bCs/>
          <w:color w:val="000000" w:themeColor="text1"/>
          <w:sz w:val="32"/>
          <w:szCs w:val="32"/>
          <w:lang w:eastAsia="es-ES"/>
        </w:rPr>
        <w:t>valorada</w:t>
      </w:r>
      <w:r w:rsidR="004C3D21">
        <w:rPr>
          <w:rFonts w:cs="Arial"/>
          <w:b/>
          <w:bCs/>
          <w:color w:val="000000" w:themeColor="text1"/>
          <w:sz w:val="32"/>
          <w:szCs w:val="32"/>
          <w:lang w:eastAsia="es-ES"/>
        </w:rPr>
        <w:t>,</w:t>
      </w:r>
      <w:r w:rsidR="00136E6B">
        <w:rPr>
          <w:rFonts w:cs="Arial"/>
          <w:b/>
          <w:bCs/>
          <w:color w:val="000000" w:themeColor="text1"/>
          <w:sz w:val="32"/>
          <w:szCs w:val="32"/>
          <w:lang w:eastAsia="es-ES"/>
        </w:rPr>
        <w:t xml:space="preserve"> por primera</w:t>
      </w:r>
      <w:r w:rsidR="004C3D21">
        <w:rPr>
          <w:rFonts w:cs="Arial"/>
          <w:b/>
          <w:bCs/>
          <w:color w:val="000000" w:themeColor="text1"/>
          <w:sz w:val="32"/>
          <w:szCs w:val="32"/>
          <w:lang w:eastAsia="es-ES"/>
        </w:rPr>
        <w:t>,</w:t>
      </w:r>
      <w:r w:rsidR="00136E6B">
        <w:rPr>
          <w:rFonts w:cs="Arial"/>
          <w:b/>
          <w:bCs/>
          <w:color w:val="000000" w:themeColor="text1"/>
          <w:sz w:val="32"/>
          <w:szCs w:val="32"/>
          <w:lang w:eastAsia="es-ES"/>
        </w:rPr>
        <w:t xml:space="preserve"> vez por Moody’s con una </w:t>
      </w:r>
      <w:r w:rsidR="00136E6B" w:rsidRPr="00136E6B">
        <w:rPr>
          <w:rFonts w:cs="Arial"/>
          <w:b/>
          <w:bCs/>
          <w:color w:val="000000" w:themeColor="text1"/>
          <w:sz w:val="32"/>
          <w:szCs w:val="32"/>
          <w:lang w:eastAsia="es-ES"/>
        </w:rPr>
        <w:t>calificación de A1</w:t>
      </w:r>
      <w:bookmarkStart w:id="0" w:name="_Hlk170215768"/>
      <w:r w:rsidR="00136E6B" w:rsidRPr="00136E6B">
        <w:rPr>
          <w:rFonts w:cs="Arial"/>
          <w:b/>
          <w:bCs/>
          <w:color w:val="000000" w:themeColor="text1"/>
          <w:sz w:val="32"/>
          <w:szCs w:val="32"/>
          <w:lang w:eastAsia="es-ES"/>
        </w:rPr>
        <w:t xml:space="preserve"> </w:t>
      </w:r>
      <w:r w:rsidR="00152C68">
        <w:rPr>
          <w:rFonts w:cs="Arial"/>
          <w:b/>
          <w:bCs/>
          <w:color w:val="000000" w:themeColor="text1"/>
          <w:sz w:val="32"/>
          <w:szCs w:val="32"/>
          <w:lang w:eastAsia="es-ES"/>
        </w:rPr>
        <w:t>con per</w:t>
      </w:r>
      <w:r w:rsidR="0060790A">
        <w:rPr>
          <w:rFonts w:cs="Arial"/>
          <w:b/>
          <w:bCs/>
          <w:color w:val="000000" w:themeColor="text1"/>
          <w:sz w:val="32"/>
          <w:szCs w:val="32"/>
          <w:lang w:eastAsia="es-ES"/>
        </w:rPr>
        <w:t>spectiva positiva</w:t>
      </w:r>
      <w:bookmarkEnd w:id="0"/>
    </w:p>
    <w:p w14:paraId="3B566D7A" w14:textId="77777777" w:rsidR="001170FD" w:rsidRDefault="001170FD" w:rsidP="00077BA1">
      <w:pPr>
        <w:spacing w:line="360" w:lineRule="auto"/>
        <w:ind w:right="425"/>
        <w:rPr>
          <w:rFonts w:cs="Arial"/>
          <w:b/>
          <w:sz w:val="24"/>
          <w:szCs w:val="24"/>
        </w:rPr>
      </w:pPr>
    </w:p>
    <w:p w14:paraId="23D98DC8" w14:textId="65D91BFE" w:rsidR="00410B6F" w:rsidRDefault="00136E6B" w:rsidP="00410B6F">
      <w:pPr>
        <w:numPr>
          <w:ilvl w:val="0"/>
          <w:numId w:val="1"/>
        </w:numPr>
        <w:spacing w:line="360" w:lineRule="auto"/>
        <w:ind w:right="425"/>
        <w:rPr>
          <w:b/>
          <w:sz w:val="24"/>
          <w:szCs w:val="24"/>
          <w:lang w:val="es-ES_tradnl"/>
        </w:rPr>
      </w:pPr>
      <w:r w:rsidRPr="00136E6B">
        <w:rPr>
          <w:b/>
          <w:sz w:val="24"/>
          <w:szCs w:val="24"/>
          <w:lang w:val="es-ES_tradnl"/>
        </w:rPr>
        <w:t xml:space="preserve">La agencia valora </w:t>
      </w:r>
      <w:r>
        <w:rPr>
          <w:b/>
          <w:sz w:val="24"/>
          <w:szCs w:val="24"/>
          <w:lang w:val="es-ES_tradnl"/>
        </w:rPr>
        <w:t xml:space="preserve">el </w:t>
      </w:r>
      <w:r w:rsidRPr="00136E6B">
        <w:rPr>
          <w:b/>
          <w:sz w:val="24"/>
          <w:szCs w:val="24"/>
          <w:lang w:val="es-ES_tradnl"/>
        </w:rPr>
        <w:t>sólido perfil comercial</w:t>
      </w:r>
      <w:r>
        <w:rPr>
          <w:b/>
          <w:sz w:val="24"/>
          <w:szCs w:val="24"/>
          <w:lang w:val="es-ES_tradnl"/>
        </w:rPr>
        <w:t xml:space="preserve"> de la compañía</w:t>
      </w:r>
      <w:r w:rsidRPr="00136E6B">
        <w:rPr>
          <w:b/>
          <w:sz w:val="24"/>
          <w:szCs w:val="24"/>
          <w:lang w:val="es-ES_tradnl"/>
        </w:rPr>
        <w:t xml:space="preserve"> en España </w:t>
      </w:r>
      <w:r>
        <w:rPr>
          <w:b/>
          <w:sz w:val="24"/>
          <w:szCs w:val="24"/>
          <w:lang w:val="es-ES_tradnl"/>
        </w:rPr>
        <w:t>y su</w:t>
      </w:r>
      <w:r w:rsidRPr="00136E6B">
        <w:rPr>
          <w:b/>
          <w:sz w:val="24"/>
          <w:szCs w:val="24"/>
          <w:lang w:val="es-ES_tradnl"/>
        </w:rPr>
        <w:t xml:space="preserve"> estrategia de distribución bien diversificada </w:t>
      </w:r>
    </w:p>
    <w:p w14:paraId="0E70CDDC" w14:textId="424474E0" w:rsidR="00354986" w:rsidRPr="000C3A74" w:rsidRDefault="00354986" w:rsidP="00410B6F">
      <w:pPr>
        <w:numPr>
          <w:ilvl w:val="0"/>
          <w:numId w:val="1"/>
        </w:numPr>
        <w:spacing w:line="360" w:lineRule="auto"/>
        <w:ind w:right="425"/>
        <w:rPr>
          <w:b/>
          <w:sz w:val="24"/>
          <w:szCs w:val="24"/>
          <w:lang w:val="es-ES_tradnl"/>
        </w:rPr>
      </w:pPr>
      <w:r>
        <w:rPr>
          <w:b/>
          <w:sz w:val="24"/>
          <w:szCs w:val="24"/>
          <w:lang w:val="es-ES_tradnl"/>
        </w:rPr>
        <w:t xml:space="preserve">La calificación A1 es una de las más sólidas en el mercado asegurador español y se encuentra tres puestos por encima de la calificación crediticia </w:t>
      </w:r>
      <w:r w:rsidR="000C1FF0">
        <w:rPr>
          <w:b/>
          <w:sz w:val="24"/>
          <w:szCs w:val="24"/>
          <w:lang w:val="es-ES_tradnl"/>
        </w:rPr>
        <w:t xml:space="preserve">soberana </w:t>
      </w:r>
      <w:r>
        <w:rPr>
          <w:b/>
          <w:sz w:val="24"/>
          <w:szCs w:val="24"/>
          <w:lang w:val="es-ES_tradnl"/>
        </w:rPr>
        <w:t>de España</w:t>
      </w:r>
    </w:p>
    <w:p w14:paraId="79C50C44" w14:textId="2B65E732" w:rsidR="005D1C6F" w:rsidRPr="004C3D21" w:rsidRDefault="00136E6B" w:rsidP="004C3D21">
      <w:pPr>
        <w:pStyle w:val="Prrafodelista"/>
        <w:numPr>
          <w:ilvl w:val="0"/>
          <w:numId w:val="1"/>
        </w:numPr>
        <w:spacing w:line="360" w:lineRule="auto"/>
        <w:rPr>
          <w:rFonts w:ascii="Arial" w:eastAsia="Times New Roman" w:hAnsi="Arial" w:cs="Times New Roman"/>
          <w:b/>
          <w:bCs/>
          <w:sz w:val="24"/>
          <w:szCs w:val="24"/>
          <w:lang w:eastAsia="de-DE"/>
        </w:rPr>
      </w:pPr>
      <w:r w:rsidRPr="00136E6B">
        <w:rPr>
          <w:rFonts w:ascii="Arial" w:eastAsia="Times New Roman" w:hAnsi="Arial" w:cs="Times New Roman"/>
          <w:b/>
          <w:bCs/>
          <w:sz w:val="24"/>
          <w:szCs w:val="24"/>
          <w:lang w:eastAsia="de-DE"/>
        </w:rPr>
        <w:t>La firma de rating estima que Allianz Seguros enfrenta bajos riesgos de gobernanza y</w:t>
      </w:r>
      <w:r>
        <w:rPr>
          <w:rFonts w:ascii="Arial" w:eastAsia="Times New Roman" w:hAnsi="Arial" w:cs="Times New Roman"/>
          <w:b/>
          <w:bCs/>
          <w:sz w:val="24"/>
          <w:szCs w:val="24"/>
          <w:lang w:eastAsia="de-DE"/>
        </w:rPr>
        <w:t xml:space="preserve"> </w:t>
      </w:r>
      <w:r w:rsidRPr="00136E6B">
        <w:rPr>
          <w:rFonts w:ascii="Arial" w:eastAsia="Times New Roman" w:hAnsi="Arial" w:cs="Times New Roman"/>
          <w:b/>
          <w:bCs/>
          <w:sz w:val="24"/>
          <w:szCs w:val="24"/>
          <w:lang w:eastAsia="de-DE"/>
        </w:rPr>
        <w:t>su gestión de riesgos, políticas y procedimientos están en línea con las mejores prácticas de la industria</w:t>
      </w:r>
    </w:p>
    <w:p w14:paraId="514703C5" w14:textId="77777777" w:rsidR="001170FD" w:rsidRDefault="001170FD" w:rsidP="00077BA1">
      <w:pPr>
        <w:spacing w:line="276" w:lineRule="auto"/>
        <w:ind w:right="425"/>
        <w:jc w:val="both"/>
        <w:rPr>
          <w:rFonts w:cs="Arial"/>
          <w:b/>
          <w:lang w:val="es-ES_tradnl"/>
        </w:rPr>
      </w:pPr>
    </w:p>
    <w:p w14:paraId="17893674" w14:textId="14F37434" w:rsidR="000C5F9B" w:rsidRDefault="00FA59FE" w:rsidP="000C5F9B">
      <w:pPr>
        <w:tabs>
          <w:tab w:val="left" w:pos="567"/>
          <w:tab w:val="left" w:pos="8505"/>
        </w:tabs>
        <w:spacing w:line="276" w:lineRule="auto"/>
        <w:ind w:right="-1"/>
        <w:jc w:val="both"/>
      </w:pPr>
      <w:r w:rsidRPr="473D4EFF">
        <w:rPr>
          <w:rFonts w:cs="Arial"/>
          <w:b/>
          <w:bCs/>
        </w:rPr>
        <w:t xml:space="preserve">Madrid, </w:t>
      </w:r>
      <w:r w:rsidR="00AE7966">
        <w:rPr>
          <w:rFonts w:cs="Arial"/>
          <w:b/>
          <w:bCs/>
        </w:rPr>
        <w:t>1 de julio</w:t>
      </w:r>
      <w:r w:rsidR="00257BDB" w:rsidRPr="473D4EFF">
        <w:rPr>
          <w:rFonts w:cs="Arial"/>
          <w:b/>
          <w:bCs/>
        </w:rPr>
        <w:t xml:space="preserve"> </w:t>
      </w:r>
      <w:r w:rsidRPr="473D4EFF">
        <w:rPr>
          <w:rFonts w:cs="Arial"/>
          <w:b/>
          <w:bCs/>
        </w:rPr>
        <w:t>de 202</w:t>
      </w:r>
      <w:r w:rsidR="00325F65">
        <w:rPr>
          <w:rFonts w:cs="Arial"/>
          <w:b/>
          <w:bCs/>
        </w:rPr>
        <w:t>4</w:t>
      </w:r>
      <w:r w:rsidR="001170FD" w:rsidRPr="473D4EFF">
        <w:rPr>
          <w:rFonts w:cs="Arial"/>
          <w:b/>
          <w:bCs/>
        </w:rPr>
        <w:t xml:space="preserve">-. </w:t>
      </w:r>
      <w:r w:rsidR="00BC5C93" w:rsidRPr="473D4EFF">
        <w:rPr>
          <w:rFonts w:cs="Arial"/>
          <w:b/>
          <w:bCs/>
        </w:rPr>
        <w:t xml:space="preserve"> </w:t>
      </w:r>
      <w:r w:rsidR="00136E6B" w:rsidRPr="00136E6B">
        <w:rPr>
          <w:rFonts w:cs="Arial"/>
        </w:rPr>
        <w:t xml:space="preserve">La agencia de calificación internacional Moody’s ha </w:t>
      </w:r>
      <w:r w:rsidR="000F6F54">
        <w:rPr>
          <w:rFonts w:cs="Arial"/>
        </w:rPr>
        <w:t>valorado</w:t>
      </w:r>
      <w:r w:rsidR="00136E6B">
        <w:rPr>
          <w:rFonts w:cs="Arial"/>
        </w:rPr>
        <w:t xml:space="preserve"> por primera vez a Allianz Seguros, calificando su </w:t>
      </w:r>
      <w:r w:rsidR="00136E6B" w:rsidRPr="00A049D6">
        <w:rPr>
          <w:rFonts w:cs="Arial"/>
          <w:b/>
          <w:bCs/>
        </w:rPr>
        <w:t>fortaleza financiera de seguros (IFSR) como A1</w:t>
      </w:r>
      <w:r w:rsidR="008015D0">
        <w:rPr>
          <w:rFonts w:cs="Arial"/>
          <w:b/>
          <w:bCs/>
        </w:rPr>
        <w:t>, con perspectiva positiva</w:t>
      </w:r>
      <w:r w:rsidR="00136E6B" w:rsidRPr="00A049D6">
        <w:rPr>
          <w:rFonts w:cs="Arial"/>
          <w:b/>
          <w:bCs/>
        </w:rPr>
        <w:t>.</w:t>
      </w:r>
      <w:r w:rsidR="00136E6B">
        <w:rPr>
          <w:rFonts w:cs="Arial"/>
        </w:rPr>
        <w:t xml:space="preserve"> El rating </w:t>
      </w:r>
      <w:r w:rsidR="00136E6B" w:rsidRPr="004C3D21">
        <w:rPr>
          <w:rFonts w:cs="Arial"/>
        </w:rPr>
        <w:t xml:space="preserve">refleja </w:t>
      </w:r>
      <w:r w:rsidR="001E35DF" w:rsidRPr="004C3D21">
        <w:rPr>
          <w:rFonts w:cs="Arial"/>
        </w:rPr>
        <w:t>“los fundamentos crediticios independientes de la compañía, incluyendo su alta exposición comercial y de inversión en España (Baa1, positivo), mejorada por el fuerte apoyo derivado de su empresa matriz, Allianz SE",</w:t>
      </w:r>
      <w:r w:rsidR="001E35DF">
        <w:rPr>
          <w:rFonts w:cs="Arial"/>
        </w:rPr>
        <w:t xml:space="preserve"> señala la nota hecha pública por la </w:t>
      </w:r>
      <w:r w:rsidR="004C3D21">
        <w:rPr>
          <w:rFonts w:cs="Arial"/>
        </w:rPr>
        <w:t>a</w:t>
      </w:r>
      <w:r w:rsidR="001E35DF">
        <w:rPr>
          <w:rFonts w:cs="Arial"/>
        </w:rPr>
        <w:t>gencia</w:t>
      </w:r>
      <w:r w:rsidR="00FF3133">
        <w:t xml:space="preserve">. </w:t>
      </w:r>
      <w:r w:rsidR="000C1FF0">
        <w:t xml:space="preserve"> La calificación crediticia A1 es una de las más sólidas del mercado asegurador español.</w:t>
      </w:r>
    </w:p>
    <w:p w14:paraId="16DA7887" w14:textId="77777777" w:rsidR="0060790A" w:rsidRDefault="0060790A" w:rsidP="000C5F9B">
      <w:pPr>
        <w:tabs>
          <w:tab w:val="left" w:pos="567"/>
          <w:tab w:val="left" w:pos="8505"/>
        </w:tabs>
        <w:spacing w:line="276" w:lineRule="auto"/>
        <w:ind w:right="-1"/>
        <w:jc w:val="both"/>
      </w:pPr>
    </w:p>
    <w:p w14:paraId="47CBE1E8" w14:textId="77777777" w:rsidR="00354986" w:rsidRDefault="00F01232" w:rsidP="550159E1">
      <w:pPr>
        <w:spacing w:line="276" w:lineRule="auto"/>
        <w:ind w:right="-1"/>
        <w:jc w:val="both"/>
        <w:rPr>
          <w:rFonts w:cs="Arial"/>
        </w:rPr>
      </w:pPr>
      <w:r w:rsidRPr="550159E1">
        <w:rPr>
          <w:rFonts w:cs="Arial"/>
        </w:rPr>
        <w:t>La calificación de Moody's evalúa el riesgo crediticio de entidades y emisiones de deuda y proporciona una medida de la capacidad y disposición de un emisor para cumplir con sus obligaciones financieras. Las calificaciones de Moody's varían desde 'Aaa' (la más alta) hasta 'C' (la más baja), y pueden incluir modificadores numéricos (como 'Aa1', 'Aa2', 'Aa3') para proporcionar una evaluación más específica dentro de cada categoría principal. Las calificaciones de Moody's son herramientas cruciales para la evaluación del riesgo y la toma de decisiones en el mercado financiero.</w:t>
      </w:r>
      <w:r w:rsidR="00354986" w:rsidRPr="550159E1">
        <w:rPr>
          <w:rFonts w:cs="Arial"/>
        </w:rPr>
        <w:t xml:space="preserve"> </w:t>
      </w:r>
    </w:p>
    <w:p w14:paraId="254309F3" w14:textId="77777777" w:rsidR="00354986" w:rsidRDefault="00354986" w:rsidP="00F01232">
      <w:pPr>
        <w:spacing w:line="276" w:lineRule="auto"/>
        <w:ind w:right="-1"/>
        <w:jc w:val="both"/>
        <w:rPr>
          <w:rFonts w:cs="Arial"/>
          <w:lang w:val="es-ES_tradnl"/>
        </w:rPr>
      </w:pPr>
    </w:p>
    <w:p w14:paraId="49539E8E" w14:textId="5C875872" w:rsidR="00F01232" w:rsidRDefault="00354986" w:rsidP="00F01232">
      <w:pPr>
        <w:spacing w:line="276" w:lineRule="auto"/>
        <w:ind w:right="-1"/>
        <w:jc w:val="both"/>
        <w:rPr>
          <w:rFonts w:cs="Arial"/>
          <w:lang w:val="es-ES_tradnl"/>
        </w:rPr>
      </w:pPr>
      <w:r>
        <w:rPr>
          <w:rFonts w:cs="Arial"/>
          <w:lang w:val="es-ES_tradnl"/>
        </w:rPr>
        <w:t xml:space="preserve">En el caso de Allianz Seguros, esta calificación fortalece a la compañía </w:t>
      </w:r>
      <w:r w:rsidR="000C1FF0">
        <w:rPr>
          <w:rFonts w:cs="Arial"/>
          <w:lang w:val="es-ES_tradnl"/>
        </w:rPr>
        <w:t>ante</w:t>
      </w:r>
      <w:r>
        <w:rPr>
          <w:rFonts w:cs="Arial"/>
          <w:lang w:val="es-ES_tradnl"/>
        </w:rPr>
        <w:t xml:space="preserve"> los clientes corporativos</w:t>
      </w:r>
      <w:r w:rsidR="000C1FF0">
        <w:rPr>
          <w:rFonts w:cs="Arial"/>
          <w:lang w:val="es-ES_tradnl"/>
        </w:rPr>
        <w:t xml:space="preserve"> y potenciales clientes</w:t>
      </w:r>
      <w:r>
        <w:rPr>
          <w:rFonts w:cs="Arial"/>
          <w:lang w:val="es-ES_tradnl"/>
        </w:rPr>
        <w:t xml:space="preserve"> de seguros para empresas. También refuerza su marco de gestión de riesgos de la compañía y su solidez financiera. Cabe recordar que Allianz Seguros tiene una sólida posición en productos de ahorro e inversión.</w:t>
      </w:r>
    </w:p>
    <w:p w14:paraId="3E7CAC7C" w14:textId="77777777" w:rsidR="00354986" w:rsidRDefault="00354986" w:rsidP="00F01232">
      <w:pPr>
        <w:spacing w:line="276" w:lineRule="auto"/>
        <w:ind w:right="-1"/>
        <w:jc w:val="both"/>
        <w:rPr>
          <w:rFonts w:cs="Arial"/>
          <w:lang w:val="es-ES_tradnl"/>
        </w:rPr>
      </w:pPr>
    </w:p>
    <w:p w14:paraId="09308281" w14:textId="189EAECE" w:rsidR="00354986" w:rsidRPr="00AE7966" w:rsidRDefault="000C1FF0" w:rsidP="00F01232">
      <w:pPr>
        <w:spacing w:line="276" w:lineRule="auto"/>
        <w:ind w:right="-1"/>
        <w:jc w:val="both"/>
        <w:rPr>
          <w:rFonts w:cs="Arial"/>
          <w:b/>
          <w:bCs/>
          <w:lang w:val="es-ES_tradnl"/>
        </w:rPr>
      </w:pPr>
      <w:r>
        <w:rPr>
          <w:rFonts w:cs="Arial"/>
          <w:b/>
          <w:bCs/>
          <w:lang w:val="es-ES_tradnl"/>
        </w:rPr>
        <w:t>Sólida posición en el mercado y diversificación</w:t>
      </w:r>
    </w:p>
    <w:p w14:paraId="360145EE" w14:textId="77777777" w:rsidR="00F01232" w:rsidRDefault="00F01232" w:rsidP="008015D0">
      <w:pPr>
        <w:spacing w:line="276" w:lineRule="auto"/>
        <w:ind w:right="-1"/>
        <w:jc w:val="both"/>
        <w:rPr>
          <w:rFonts w:cs="Arial"/>
          <w:lang w:val="es-ES_tradnl"/>
        </w:rPr>
      </w:pPr>
    </w:p>
    <w:p w14:paraId="20430EB2" w14:textId="24AF5409" w:rsidR="0060790A" w:rsidRDefault="0060790A" w:rsidP="008015D0">
      <w:pPr>
        <w:spacing w:line="276" w:lineRule="auto"/>
        <w:ind w:right="-1"/>
        <w:jc w:val="both"/>
        <w:rPr>
          <w:rFonts w:cs="Arial"/>
          <w:lang w:val="es-ES_tradnl"/>
        </w:rPr>
      </w:pPr>
      <w:r w:rsidRPr="001E35DF">
        <w:rPr>
          <w:rFonts w:cs="Arial"/>
          <w:lang w:val="es-ES_tradnl"/>
        </w:rPr>
        <w:t xml:space="preserve">En </w:t>
      </w:r>
      <w:r>
        <w:rPr>
          <w:rFonts w:cs="Arial"/>
          <w:lang w:val="es-ES_tradnl"/>
        </w:rPr>
        <w:t>su</w:t>
      </w:r>
      <w:r w:rsidRPr="001E35DF">
        <w:rPr>
          <w:rFonts w:cs="Arial"/>
          <w:lang w:val="es-ES_tradnl"/>
        </w:rPr>
        <w:t xml:space="preserve"> nota, la agencia in</w:t>
      </w:r>
      <w:r>
        <w:rPr>
          <w:rFonts w:cs="Arial"/>
          <w:lang w:val="es-ES_tradnl"/>
        </w:rPr>
        <w:t>cide</w:t>
      </w:r>
      <w:r w:rsidRPr="001E35DF">
        <w:rPr>
          <w:rFonts w:cs="Arial"/>
          <w:lang w:val="es-ES_tradnl"/>
        </w:rPr>
        <w:t xml:space="preserve"> en que “</w:t>
      </w:r>
      <w:r w:rsidRPr="00927765">
        <w:rPr>
          <w:rFonts w:cs="Arial"/>
          <w:b/>
          <w:bCs/>
          <w:lang w:val="es-ES_tradnl"/>
        </w:rPr>
        <w:t>la calificación A1 refleja que la compañía tiene un sólido perfil comercial en España con una muy buena posición en el mercado y una estrategia de distribución bien diversificada</w:t>
      </w:r>
      <w:r w:rsidRPr="001E35DF">
        <w:rPr>
          <w:rFonts w:cs="Arial"/>
          <w:lang w:val="es-ES_tradnl"/>
        </w:rPr>
        <w:t>”.</w:t>
      </w:r>
      <w:r>
        <w:rPr>
          <w:rFonts w:cs="Arial"/>
          <w:lang w:val="es-ES_tradnl"/>
        </w:rPr>
        <w:t xml:space="preserve"> Reseña, igualmente, </w:t>
      </w:r>
      <w:r w:rsidR="008015D0">
        <w:rPr>
          <w:rFonts w:cs="Arial"/>
          <w:lang w:val="es-ES_tradnl"/>
        </w:rPr>
        <w:t>que “l</w:t>
      </w:r>
      <w:r w:rsidR="008015D0" w:rsidRPr="008015D0">
        <w:rPr>
          <w:rFonts w:cs="Arial"/>
          <w:lang w:val="es-ES_tradnl"/>
        </w:rPr>
        <w:t>a perspectiva positiva de Allianz Seguros refleja la perspectiva positiva de la calificación soberana de España. La calificación de Allianz Seguros podría mejorar en caso de una mejora en la calidad crediticia de España</w:t>
      </w:r>
      <w:r w:rsidR="008015D0">
        <w:rPr>
          <w:rFonts w:cs="Arial"/>
          <w:lang w:val="es-ES_tradnl"/>
        </w:rPr>
        <w:t>”, calificada ahora como Baa1 positivo, tres escalas por debajo de Allianz Seguros.</w:t>
      </w:r>
    </w:p>
    <w:p w14:paraId="018BE5B0" w14:textId="77777777" w:rsidR="008015D0" w:rsidRDefault="008015D0" w:rsidP="008015D0">
      <w:pPr>
        <w:spacing w:line="276" w:lineRule="auto"/>
        <w:ind w:right="-1"/>
        <w:jc w:val="both"/>
        <w:rPr>
          <w:rFonts w:cs="Arial"/>
          <w:lang w:val="es-ES_tradnl"/>
        </w:rPr>
      </w:pPr>
    </w:p>
    <w:p w14:paraId="2382628F" w14:textId="77777777" w:rsidR="000F6F54" w:rsidRPr="001E35DF" w:rsidRDefault="000F6F54" w:rsidP="000F6F54">
      <w:pPr>
        <w:spacing w:line="276" w:lineRule="auto"/>
        <w:ind w:right="-1"/>
        <w:jc w:val="both"/>
        <w:rPr>
          <w:rFonts w:cs="Arial"/>
          <w:lang w:val="es-ES_tradnl"/>
        </w:rPr>
      </w:pPr>
      <w:r w:rsidRPr="001E35DF">
        <w:rPr>
          <w:rFonts w:cs="Arial"/>
          <w:lang w:val="es-ES_tradnl"/>
        </w:rPr>
        <w:t xml:space="preserve">Moody’s señala </w:t>
      </w:r>
      <w:r>
        <w:rPr>
          <w:rFonts w:cs="Arial"/>
          <w:lang w:val="es-ES_tradnl"/>
        </w:rPr>
        <w:t xml:space="preserve">asimismo que Allianz Seguros </w:t>
      </w:r>
      <w:r w:rsidRPr="001E35DF">
        <w:rPr>
          <w:rFonts w:cs="Arial"/>
          <w:lang w:val="es-ES_tradnl"/>
        </w:rPr>
        <w:t xml:space="preserve">tiene un fuerte perfil comercial, como lo refleja su posición </w:t>
      </w:r>
      <w:r w:rsidRPr="001E35DF">
        <w:rPr>
          <w:rFonts w:cs="Arial"/>
          <w:b/>
          <w:bCs/>
          <w:lang w:val="es-ES_tradnl"/>
        </w:rPr>
        <w:t>número tres en el mercado español de seguros</w:t>
      </w:r>
      <w:r w:rsidRPr="001E35DF">
        <w:rPr>
          <w:rFonts w:cs="Arial"/>
          <w:lang w:val="es-ES_tradnl"/>
        </w:rPr>
        <w:t xml:space="preserve"> </w:t>
      </w:r>
      <w:r>
        <w:rPr>
          <w:rFonts w:cs="Arial"/>
          <w:lang w:val="es-ES_tradnl"/>
        </w:rPr>
        <w:t>de No Vida (P&amp;C)</w:t>
      </w:r>
      <w:r w:rsidRPr="001E35DF">
        <w:rPr>
          <w:rFonts w:cs="Arial"/>
          <w:lang w:val="es-ES_tradnl"/>
        </w:rPr>
        <w:t>, un perfil de riesgo de productos moderado gracias al enfoque de la compañía en negocios minoristas y pequeñas empresas comerciales, y una estrategia de distribución diversificada que depende de agentes, corredores locales y corredores internacionales.</w:t>
      </w:r>
    </w:p>
    <w:p w14:paraId="4678CDF7" w14:textId="77777777" w:rsidR="000F6F54" w:rsidRDefault="000F6F54" w:rsidP="007F6BF8">
      <w:pPr>
        <w:spacing w:line="276" w:lineRule="auto"/>
        <w:ind w:right="-1"/>
        <w:jc w:val="both"/>
      </w:pPr>
    </w:p>
    <w:p w14:paraId="411A68A3" w14:textId="341ED643" w:rsidR="001E35DF" w:rsidRDefault="001E35DF" w:rsidP="550159E1">
      <w:pPr>
        <w:spacing w:line="276" w:lineRule="auto"/>
        <w:ind w:right="-1"/>
        <w:jc w:val="both"/>
        <w:rPr>
          <w:rFonts w:cs="Arial"/>
        </w:rPr>
      </w:pPr>
      <w:r w:rsidRPr="550159E1">
        <w:rPr>
          <w:rFonts w:cs="Arial"/>
        </w:rPr>
        <w:t xml:space="preserve">La agencia destaca también que “Las prioridades estratégicas de Allianz Seguros incluyen el crecimiento en el negocio de no automóviles y en </w:t>
      </w:r>
      <w:r w:rsidR="000F6F54" w:rsidRPr="550159E1">
        <w:rPr>
          <w:rFonts w:cs="Arial"/>
        </w:rPr>
        <w:t>seguros de empresa</w:t>
      </w:r>
      <w:r w:rsidRPr="550159E1">
        <w:rPr>
          <w:rFonts w:cs="Arial"/>
        </w:rPr>
        <w:t xml:space="preserve">, lo que contribuirá gradualmente a mejorar la diversificación del negocio. Además, entendemos que, dentro del negocio </w:t>
      </w:r>
      <w:r w:rsidR="000F6F54" w:rsidRPr="550159E1">
        <w:rPr>
          <w:rFonts w:cs="Arial"/>
        </w:rPr>
        <w:t>de empresas</w:t>
      </w:r>
      <w:r w:rsidRPr="550159E1">
        <w:rPr>
          <w:rFonts w:cs="Arial"/>
        </w:rPr>
        <w:t>, la compañía se centrará principalmente en pequeñas y medianas empresas, lo que debería limitar cualquier aumento en el perfil de riesgo”. Y subraya: “</w:t>
      </w:r>
      <w:r w:rsidR="004C3D21" w:rsidRPr="550159E1">
        <w:rPr>
          <w:rFonts w:cs="Arial"/>
        </w:rPr>
        <w:t>la capitalización de Allianz Seguros es moderada, con una ratio de Solvencia II reportada del 136% a finales de 2023</w:t>
      </w:r>
      <w:r w:rsidR="000F6F54" w:rsidRPr="550159E1">
        <w:rPr>
          <w:rFonts w:cs="Arial"/>
        </w:rPr>
        <w:t>” “</w:t>
      </w:r>
      <w:r w:rsidR="00C105A1" w:rsidRPr="550159E1">
        <w:rPr>
          <w:rFonts w:cs="Arial"/>
        </w:rPr>
        <w:t>a</w:t>
      </w:r>
      <w:r w:rsidR="004C3D21" w:rsidRPr="550159E1">
        <w:rPr>
          <w:rFonts w:cs="Arial"/>
        </w:rPr>
        <w:t>l mismo tiempo</w:t>
      </w:r>
      <w:r w:rsidR="00C105A1" w:rsidRPr="550159E1">
        <w:rPr>
          <w:rFonts w:cs="Arial"/>
        </w:rPr>
        <w:t>- continúa diciendo-</w:t>
      </w:r>
      <w:r w:rsidR="004C3D21" w:rsidRPr="550159E1">
        <w:rPr>
          <w:rFonts w:cs="Arial"/>
        </w:rPr>
        <w:t xml:space="preserve"> creemos que Allianz Seguros se beneficiaría </w:t>
      </w:r>
      <w:r w:rsidR="004C3D21" w:rsidRPr="550159E1">
        <w:rPr>
          <w:rFonts w:cs="Arial"/>
          <w:b/>
          <w:bCs/>
        </w:rPr>
        <w:t>del apoyo de su empresa matriz</w:t>
      </w:r>
      <w:r w:rsidR="004C3D21" w:rsidRPr="550159E1">
        <w:rPr>
          <w:rFonts w:cs="Arial"/>
        </w:rPr>
        <w:t xml:space="preserve"> última, </w:t>
      </w:r>
      <w:r w:rsidR="004C3D21" w:rsidRPr="550159E1">
        <w:rPr>
          <w:rFonts w:cs="Arial"/>
          <w:b/>
          <w:bCs/>
        </w:rPr>
        <w:t>Allianz SE,</w:t>
      </w:r>
      <w:r w:rsidR="004C3D21" w:rsidRPr="550159E1">
        <w:rPr>
          <w:rFonts w:cs="Arial"/>
        </w:rPr>
        <w:t xml:space="preserve"> si fuera necesario</w:t>
      </w:r>
      <w:r w:rsidRPr="550159E1">
        <w:rPr>
          <w:rFonts w:cs="Arial"/>
        </w:rPr>
        <w:t>”.</w:t>
      </w:r>
    </w:p>
    <w:p w14:paraId="321DBAFD" w14:textId="77777777" w:rsidR="001E35DF" w:rsidRDefault="001E35DF" w:rsidP="006567A4">
      <w:pPr>
        <w:spacing w:line="276" w:lineRule="auto"/>
        <w:ind w:right="-1"/>
        <w:jc w:val="both"/>
        <w:rPr>
          <w:rFonts w:cs="Arial"/>
          <w:lang w:val="es-ES_tradnl"/>
        </w:rPr>
      </w:pPr>
    </w:p>
    <w:p w14:paraId="17FA2D58" w14:textId="49691CE0" w:rsidR="00FF2906" w:rsidRPr="00FF2906" w:rsidRDefault="00FF2906" w:rsidP="00FF2906">
      <w:pPr>
        <w:spacing w:line="276" w:lineRule="auto"/>
        <w:jc w:val="both"/>
        <w:rPr>
          <w:rFonts w:cs="Arial"/>
          <w:lang w:val="es-ES_tradnl"/>
        </w:rPr>
      </w:pPr>
      <w:r w:rsidRPr="00FF2906">
        <w:rPr>
          <w:rFonts w:cs="Arial"/>
          <w:lang w:val="es-ES_tradnl"/>
        </w:rPr>
        <w:t>Dentro de su argumentación, Moody’s también sostiene que “</w:t>
      </w:r>
      <w:r>
        <w:rPr>
          <w:rFonts w:cs="Arial"/>
          <w:lang w:val="es-ES_tradnl"/>
        </w:rPr>
        <w:t>l</w:t>
      </w:r>
      <w:r w:rsidRPr="00FF2906">
        <w:rPr>
          <w:rFonts w:cs="Arial"/>
          <w:lang w:val="es-ES_tradnl"/>
        </w:rPr>
        <w:t xml:space="preserve">a asignación de la nueva calificación a Allianz Seguros también tiene en cuenta la </w:t>
      </w:r>
      <w:r w:rsidRPr="00FF2906">
        <w:rPr>
          <w:rFonts w:cs="Arial"/>
          <w:b/>
          <w:bCs/>
          <w:lang w:val="es-ES_tradnl"/>
        </w:rPr>
        <w:t>eficacia de su gobernanza</w:t>
      </w:r>
      <w:r w:rsidRPr="00FF2906">
        <w:rPr>
          <w:rFonts w:cs="Arial"/>
          <w:lang w:val="es-ES_tradnl"/>
        </w:rPr>
        <w:t xml:space="preserve"> como parte de la evaluación de Moody's sobre consideraciones ambientales, sociales y de gobernanza (ESG). Allianz Seguros enfrenta bajos riesgos de gobernanza y, como parte del grupo Allianz, su gestión de riesgos, políticas y procedimientos están en línea con las mejores prácticas de la industria”.</w:t>
      </w:r>
    </w:p>
    <w:p w14:paraId="73AA4821" w14:textId="77777777" w:rsidR="00FF2906" w:rsidRPr="00FF2906" w:rsidRDefault="00FF2906" w:rsidP="00FF2906">
      <w:pPr>
        <w:spacing w:line="276" w:lineRule="auto"/>
        <w:jc w:val="both"/>
        <w:rPr>
          <w:rFonts w:cs="Arial"/>
          <w:lang w:val="es-ES_tradnl"/>
        </w:rPr>
      </w:pPr>
    </w:p>
    <w:p w14:paraId="2D4B9E40" w14:textId="4F6F0DFE" w:rsidR="00BA437E" w:rsidRPr="00410B6F" w:rsidRDefault="00FF2906" w:rsidP="00FF2906">
      <w:pPr>
        <w:spacing w:line="276" w:lineRule="auto"/>
        <w:jc w:val="both"/>
        <w:rPr>
          <w:rFonts w:cs="Arial"/>
        </w:rPr>
      </w:pPr>
      <w:r w:rsidRPr="00FF2906">
        <w:rPr>
          <w:rFonts w:cs="Arial"/>
          <w:lang w:val="es-ES_tradnl"/>
        </w:rPr>
        <w:t xml:space="preserve">La agencia considera que </w:t>
      </w:r>
      <w:r>
        <w:rPr>
          <w:rFonts w:cs="Arial"/>
          <w:lang w:val="es-ES_tradnl"/>
        </w:rPr>
        <w:t>“l</w:t>
      </w:r>
      <w:r w:rsidRPr="00FF2906">
        <w:rPr>
          <w:rFonts w:cs="Arial"/>
          <w:lang w:val="es-ES_tradnl"/>
        </w:rPr>
        <w:t xml:space="preserve">a perspectiva positiva de Allianz Seguros refleja la perspectiva positiva de la calificación soberana de España. También refleja nuestra expectativa de que la compañía mejorará gradualmente su rentabilidad en el segmento de </w:t>
      </w:r>
      <w:r w:rsidR="007955D1">
        <w:rPr>
          <w:rFonts w:cs="Arial"/>
          <w:lang w:val="es-ES_tradnl"/>
        </w:rPr>
        <w:t>N</w:t>
      </w:r>
      <w:r>
        <w:rPr>
          <w:rFonts w:cs="Arial"/>
          <w:lang w:val="es-ES_tradnl"/>
        </w:rPr>
        <w:t xml:space="preserve">o </w:t>
      </w:r>
      <w:r w:rsidR="007955D1">
        <w:rPr>
          <w:rFonts w:cs="Arial"/>
          <w:lang w:val="es-ES_tradnl"/>
        </w:rPr>
        <w:t>V</w:t>
      </w:r>
      <w:r>
        <w:rPr>
          <w:rFonts w:cs="Arial"/>
          <w:lang w:val="es-ES_tradnl"/>
        </w:rPr>
        <w:t>ida (</w:t>
      </w:r>
      <w:r w:rsidRPr="00FF2906">
        <w:rPr>
          <w:rFonts w:cs="Arial"/>
          <w:lang w:val="es-ES_tradnl"/>
        </w:rPr>
        <w:t>P&amp;C</w:t>
      </w:r>
      <w:r>
        <w:rPr>
          <w:rFonts w:cs="Arial"/>
          <w:lang w:val="es-ES_tradnl"/>
        </w:rPr>
        <w:t>)</w:t>
      </w:r>
      <w:r w:rsidRPr="00FF2906">
        <w:rPr>
          <w:rFonts w:cs="Arial"/>
          <w:lang w:val="es-ES_tradnl"/>
        </w:rPr>
        <w:t xml:space="preserve"> gracias a los aumentos de precios”.</w:t>
      </w:r>
      <w:r w:rsidR="005D1C6F" w:rsidRPr="00410B6F">
        <w:rPr>
          <w:rFonts w:cs="Arial"/>
        </w:rPr>
        <w:t xml:space="preserve"> </w:t>
      </w:r>
    </w:p>
    <w:p w14:paraId="7AF5C458" w14:textId="77777777" w:rsidR="00325F65" w:rsidRDefault="00325F65" w:rsidP="6B99B76B">
      <w:pPr>
        <w:tabs>
          <w:tab w:val="left" w:pos="567"/>
          <w:tab w:val="left" w:pos="8505"/>
        </w:tabs>
        <w:spacing w:line="276" w:lineRule="auto"/>
        <w:ind w:right="-1"/>
        <w:jc w:val="both"/>
        <w:rPr>
          <w:rFonts w:cs="Arial"/>
          <w:b/>
          <w:bCs/>
        </w:rPr>
      </w:pPr>
    </w:p>
    <w:p w14:paraId="2D379EAE" w14:textId="77777777" w:rsidR="0060790A" w:rsidRDefault="0060790A" w:rsidP="6B99B76B">
      <w:pPr>
        <w:tabs>
          <w:tab w:val="left" w:pos="567"/>
          <w:tab w:val="left" w:pos="8505"/>
        </w:tabs>
        <w:spacing w:line="276" w:lineRule="auto"/>
        <w:ind w:right="-1"/>
        <w:jc w:val="both"/>
        <w:rPr>
          <w:rFonts w:cs="Arial"/>
          <w:b/>
          <w:bCs/>
        </w:rPr>
      </w:pPr>
    </w:p>
    <w:p w14:paraId="2D25BFC6" w14:textId="71A4895A" w:rsidR="0060790A" w:rsidRDefault="0060790A" w:rsidP="008015D0">
      <w:pPr>
        <w:tabs>
          <w:tab w:val="left" w:pos="567"/>
          <w:tab w:val="left" w:pos="8505"/>
        </w:tabs>
        <w:spacing w:line="276" w:lineRule="auto"/>
        <w:ind w:right="-1"/>
        <w:jc w:val="center"/>
        <w:rPr>
          <w:rFonts w:cs="Arial"/>
          <w:b/>
          <w:bCs/>
        </w:rPr>
      </w:pPr>
      <w:r>
        <w:rPr>
          <w:rFonts w:cs="Arial"/>
          <w:b/>
          <w:bCs/>
          <w:noProof/>
        </w:rPr>
        <w:lastRenderedPageBreak/>
        <w:drawing>
          <wp:inline distT="0" distB="0" distL="0" distR="0" wp14:anchorId="35D97634" wp14:editId="25B85CDF">
            <wp:extent cx="3530600" cy="2423577"/>
            <wp:effectExtent l="0" t="0" r="0" b="0"/>
            <wp:docPr id="9476469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74" cy="2442985"/>
                    </a:xfrm>
                    <a:prstGeom prst="rect">
                      <a:avLst/>
                    </a:prstGeom>
                    <a:noFill/>
                  </pic:spPr>
                </pic:pic>
              </a:graphicData>
            </a:graphic>
          </wp:inline>
        </w:drawing>
      </w:r>
    </w:p>
    <w:p w14:paraId="181820BD" w14:textId="1567A1F8" w:rsidR="0060790A" w:rsidRPr="0060790A" w:rsidRDefault="0060790A" w:rsidP="008015D0">
      <w:pPr>
        <w:tabs>
          <w:tab w:val="left" w:pos="567"/>
          <w:tab w:val="left" w:pos="8505"/>
        </w:tabs>
        <w:spacing w:line="276" w:lineRule="auto"/>
        <w:ind w:right="-1"/>
        <w:jc w:val="center"/>
        <w:rPr>
          <w:rFonts w:cs="Arial"/>
          <w:sz w:val="16"/>
          <w:szCs w:val="16"/>
        </w:rPr>
      </w:pPr>
      <w:r w:rsidRPr="0060790A">
        <w:rPr>
          <w:rFonts w:cs="Arial"/>
          <w:sz w:val="16"/>
          <w:szCs w:val="16"/>
        </w:rPr>
        <w:t>*Fuente: Moody’s</w:t>
      </w:r>
    </w:p>
    <w:p w14:paraId="29578AEF" w14:textId="77777777" w:rsidR="0060790A" w:rsidRDefault="0060790A" w:rsidP="6B99B76B">
      <w:pPr>
        <w:tabs>
          <w:tab w:val="left" w:pos="567"/>
          <w:tab w:val="left" w:pos="8505"/>
        </w:tabs>
        <w:spacing w:line="276" w:lineRule="auto"/>
        <w:ind w:right="-1"/>
        <w:jc w:val="both"/>
        <w:rPr>
          <w:rFonts w:cs="Arial"/>
          <w:b/>
          <w:bCs/>
        </w:rPr>
      </w:pPr>
    </w:p>
    <w:p w14:paraId="116EA7C4" w14:textId="77777777" w:rsidR="00927765" w:rsidRDefault="00927765" w:rsidP="2D7058AB">
      <w:pPr>
        <w:tabs>
          <w:tab w:val="left" w:pos="567"/>
          <w:tab w:val="left" w:pos="8505"/>
        </w:tabs>
        <w:spacing w:line="276" w:lineRule="auto"/>
        <w:ind w:right="-1"/>
        <w:jc w:val="both"/>
        <w:rPr>
          <w:rFonts w:cs="Arial"/>
          <w:b/>
          <w:bCs/>
        </w:rPr>
      </w:pPr>
    </w:p>
    <w:p w14:paraId="35190D6C" w14:textId="77777777" w:rsidR="00927765" w:rsidRDefault="00927765" w:rsidP="2D7058AB">
      <w:pPr>
        <w:tabs>
          <w:tab w:val="left" w:pos="567"/>
          <w:tab w:val="left" w:pos="8505"/>
        </w:tabs>
        <w:spacing w:line="276" w:lineRule="auto"/>
        <w:ind w:right="-1"/>
        <w:jc w:val="both"/>
        <w:rPr>
          <w:rFonts w:cs="Arial"/>
          <w:b/>
          <w:bCs/>
        </w:rPr>
      </w:pPr>
    </w:p>
    <w:p w14:paraId="265B82E5" w14:textId="77777777" w:rsidR="00927765" w:rsidRDefault="00927765" w:rsidP="2D7058AB">
      <w:pPr>
        <w:tabs>
          <w:tab w:val="left" w:pos="567"/>
          <w:tab w:val="left" w:pos="8505"/>
        </w:tabs>
        <w:spacing w:line="276" w:lineRule="auto"/>
        <w:ind w:right="-1"/>
        <w:jc w:val="both"/>
        <w:rPr>
          <w:rFonts w:cs="Arial"/>
          <w:b/>
          <w:bCs/>
        </w:rPr>
      </w:pPr>
    </w:p>
    <w:p w14:paraId="50E4AE39" w14:textId="1D24C30D" w:rsidR="00BA437E" w:rsidRPr="00BA437E" w:rsidRDefault="00BA437E" w:rsidP="2D7058AB">
      <w:pPr>
        <w:tabs>
          <w:tab w:val="left" w:pos="567"/>
          <w:tab w:val="left" w:pos="8505"/>
        </w:tabs>
        <w:spacing w:line="276" w:lineRule="auto"/>
        <w:ind w:right="-1"/>
        <w:jc w:val="both"/>
        <w:rPr>
          <w:rFonts w:cs="Arial"/>
          <w:b/>
          <w:bCs/>
        </w:rPr>
      </w:pPr>
      <w:r w:rsidRPr="6B99B76B">
        <w:rPr>
          <w:rFonts w:cs="Arial"/>
          <w:b/>
          <w:bCs/>
        </w:rPr>
        <w:t>Sobre Allianz Seguros</w:t>
      </w:r>
    </w:p>
    <w:p w14:paraId="1F1BC21B" w14:textId="77777777" w:rsidR="00BA437E" w:rsidRDefault="00BA437E" w:rsidP="0010016F">
      <w:pPr>
        <w:tabs>
          <w:tab w:val="left" w:pos="567"/>
          <w:tab w:val="left" w:pos="8505"/>
        </w:tabs>
        <w:spacing w:line="276" w:lineRule="auto"/>
        <w:ind w:right="-1"/>
        <w:jc w:val="both"/>
        <w:rPr>
          <w:rFonts w:cs="Arial"/>
          <w:bCs/>
          <w:lang w:val="es-ES_tradnl"/>
        </w:rPr>
      </w:pPr>
    </w:p>
    <w:p w14:paraId="3BD4AED9" w14:textId="77777777" w:rsidR="002D2313" w:rsidRPr="002D2313" w:rsidRDefault="002D2313" w:rsidP="61F31A6A">
      <w:pPr>
        <w:tabs>
          <w:tab w:val="left" w:pos="567"/>
          <w:tab w:val="left" w:pos="8505"/>
        </w:tabs>
        <w:spacing w:line="276" w:lineRule="auto"/>
        <w:ind w:right="-1"/>
        <w:jc w:val="both"/>
        <w:rPr>
          <w:rFonts w:cs="Arial"/>
        </w:rPr>
      </w:pPr>
      <w:r w:rsidRPr="61F31A6A">
        <w:rPr>
          <w:rFonts w:cs="Arial"/>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cerca de 2.000 empleados/as y su red de más de 10.000 mediadores), y tecnológica (mediante herramientas como su aplicación para smartphones y tabletas, su área de eCliente de la web corporativa, y sus más de 500.000 SMS enviados anualmente a sus clientes). </w:t>
      </w:r>
    </w:p>
    <w:p w14:paraId="69449FAF" w14:textId="77777777" w:rsidR="002D2313" w:rsidRPr="002D2313" w:rsidRDefault="002D2313" w:rsidP="002D2313">
      <w:pPr>
        <w:tabs>
          <w:tab w:val="left" w:pos="567"/>
          <w:tab w:val="left" w:pos="8505"/>
        </w:tabs>
        <w:spacing w:line="276" w:lineRule="auto"/>
        <w:ind w:right="-1"/>
        <w:jc w:val="both"/>
        <w:rPr>
          <w:rFonts w:cs="Arial"/>
          <w:bCs/>
          <w:lang w:val="es-ES_tradnl"/>
        </w:rPr>
      </w:pPr>
    </w:p>
    <w:p w14:paraId="7250AE17" w14:textId="08AEE926" w:rsidR="002D2313" w:rsidRDefault="002D2313" w:rsidP="61F31A6A">
      <w:pPr>
        <w:tabs>
          <w:tab w:val="left" w:pos="567"/>
          <w:tab w:val="left" w:pos="8505"/>
        </w:tabs>
        <w:spacing w:line="276" w:lineRule="auto"/>
        <w:ind w:right="-1"/>
        <w:jc w:val="both"/>
        <w:rPr>
          <w:rFonts w:cs="Arial"/>
        </w:rPr>
      </w:pPr>
      <w:r w:rsidRPr="61F31A6A">
        <w:rPr>
          <w:rFonts w:cs="Arial"/>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2958E059" w14:textId="77777777" w:rsidR="001170FD" w:rsidRPr="00BA437E" w:rsidRDefault="001170FD" w:rsidP="009415FE">
      <w:pPr>
        <w:tabs>
          <w:tab w:val="left" w:pos="567"/>
          <w:tab w:val="left" w:pos="8505"/>
        </w:tabs>
        <w:ind w:right="-1"/>
        <w:jc w:val="both"/>
        <w:rPr>
          <w:rFonts w:cs="Arial"/>
          <w:bCs/>
        </w:rPr>
      </w:pPr>
    </w:p>
    <w:p w14:paraId="51A37ABE" w14:textId="73CB6F26" w:rsidR="001170FD" w:rsidRDefault="001170FD" w:rsidP="001170FD">
      <w:pPr>
        <w:pBdr>
          <w:bottom w:val="single" w:sz="6" w:space="1" w:color="auto"/>
        </w:pBdr>
        <w:tabs>
          <w:tab w:val="left" w:pos="567"/>
        </w:tabs>
        <w:ind w:right="1418"/>
        <w:jc w:val="both"/>
        <w:rPr>
          <w:rFonts w:cs="Arial"/>
          <w:lang w:val="es-ES_tradnl"/>
        </w:rPr>
      </w:pPr>
      <w:r>
        <w:rPr>
          <w:rFonts w:cs="Arial"/>
          <w:lang w:val="es-ES_tradnl"/>
        </w:rPr>
        <w:t>Más información para la prensa:</w:t>
      </w:r>
    </w:p>
    <w:p w14:paraId="4D821C62" w14:textId="77777777" w:rsidR="005260EA" w:rsidRDefault="005260EA" w:rsidP="009415FE">
      <w:pPr>
        <w:tabs>
          <w:tab w:val="left" w:pos="567"/>
          <w:tab w:val="left" w:pos="8505"/>
        </w:tabs>
        <w:ind w:right="-1"/>
        <w:rPr>
          <w:rFonts w:cs="Arial"/>
          <w:lang w:val="es-ES_tradnl"/>
        </w:rPr>
      </w:pPr>
    </w:p>
    <w:p w14:paraId="225BA1C9" w14:textId="0105D2F5" w:rsidR="005260EA" w:rsidRPr="005260EA" w:rsidRDefault="005260EA" w:rsidP="009415FE">
      <w:pPr>
        <w:tabs>
          <w:tab w:val="left" w:pos="567"/>
          <w:tab w:val="left" w:pos="8505"/>
        </w:tabs>
        <w:ind w:right="-1"/>
        <w:rPr>
          <w:rFonts w:cs="Arial"/>
          <w:lang w:val="es-ES_tradnl"/>
        </w:rPr>
      </w:pPr>
      <w:r w:rsidRPr="005260EA">
        <w:rPr>
          <w:rFonts w:cs="Arial"/>
          <w:lang w:val="es-ES_tradnl"/>
        </w:rPr>
        <w:t>Sonia</w:t>
      </w:r>
      <w:r>
        <w:rPr>
          <w:rFonts w:cs="Arial"/>
          <w:lang w:val="es-ES_tradnl"/>
        </w:rPr>
        <w:t xml:space="preserve"> Rodríguez:    </w:t>
      </w:r>
      <w:r w:rsidRPr="005260EA">
        <w:rPr>
          <w:rFonts w:cs="Arial"/>
          <w:lang w:val="es-ES_tradnl"/>
        </w:rPr>
        <w:t>Tel. 91.596.00.66</w:t>
      </w:r>
    </w:p>
    <w:p w14:paraId="07A89EA6" w14:textId="6355DF75" w:rsidR="001170FD" w:rsidRDefault="001170FD" w:rsidP="001170FD">
      <w:pPr>
        <w:pStyle w:val="Ttulo4"/>
        <w:ind w:left="0" w:firstLine="0"/>
        <w:rPr>
          <w:rFonts w:ascii="Arial" w:hAnsi="Arial"/>
          <w:sz w:val="22"/>
          <w:szCs w:val="22"/>
        </w:rPr>
      </w:pPr>
      <w:r>
        <w:rPr>
          <w:rFonts w:ascii="Arial" w:hAnsi="Arial"/>
          <w:sz w:val="22"/>
          <w:szCs w:val="22"/>
        </w:rPr>
        <w:t>Laura Gallach</w:t>
      </w:r>
      <w:r w:rsidR="005260EA">
        <w:rPr>
          <w:rFonts w:ascii="Arial" w:hAnsi="Arial"/>
          <w:sz w:val="22"/>
          <w:szCs w:val="22"/>
        </w:rPr>
        <w:t xml:space="preserve">:          </w:t>
      </w:r>
      <w:r>
        <w:rPr>
          <w:rFonts w:ascii="Arial" w:hAnsi="Arial"/>
          <w:sz w:val="22"/>
          <w:szCs w:val="22"/>
        </w:rPr>
        <w:t>Tel. 93.228.67.83</w:t>
      </w:r>
    </w:p>
    <w:p w14:paraId="6ADAEEB0" w14:textId="77777777" w:rsidR="001170FD" w:rsidRDefault="001170FD" w:rsidP="001170FD">
      <w:pPr>
        <w:jc w:val="both"/>
        <w:rPr>
          <w:rFonts w:cs="Arial"/>
          <w:lang w:val="es-ES_tradnl" w:eastAsia="es-ES"/>
        </w:rPr>
      </w:pPr>
    </w:p>
    <w:p w14:paraId="6C03D277" w14:textId="77777777" w:rsidR="001170FD" w:rsidRDefault="001170FD" w:rsidP="001170FD">
      <w:pPr>
        <w:ind w:right="425"/>
        <w:jc w:val="both"/>
        <w:rPr>
          <w:rFonts w:ascii="Times New (W1)" w:hAnsi="Times New (W1)"/>
          <w:sz w:val="24"/>
          <w:szCs w:val="24"/>
          <w:lang w:val="es-ES_tradnl"/>
        </w:rPr>
      </w:pPr>
    </w:p>
    <w:p w14:paraId="69AE1B3C" w14:textId="77777777" w:rsidR="001170FD" w:rsidRDefault="001170FD" w:rsidP="001170FD">
      <w:pPr>
        <w:ind w:right="64"/>
        <w:jc w:val="both"/>
        <w:rPr>
          <w:rFonts w:ascii="Times New (W1)" w:hAnsi="Times New (W1)"/>
          <w:sz w:val="18"/>
          <w:lang w:val="es-ES_tradnl"/>
        </w:rPr>
      </w:pPr>
      <w:r>
        <w:rPr>
          <w:rFonts w:ascii="Times New (W1)" w:hAnsi="Times New (W1)" w:hint="cs"/>
          <w:b/>
          <w:sz w:val="18"/>
          <w:lang w:val="es-ES_tradnl"/>
        </w:rPr>
        <w:t xml:space="preserve">Estas aseveraciones quedan, como siempre, sujetas a la siguiente </w:t>
      </w:r>
      <w:hyperlink r:id="rId13" w:history="1">
        <w:r>
          <w:rPr>
            <w:rStyle w:val="Hipervnculo"/>
            <w:rFonts w:ascii="Times New (W1)" w:hAnsi="Times New (W1)" w:hint="cs"/>
            <w:b/>
            <w:sz w:val="18"/>
          </w:rPr>
          <w:t>nota preventiva</w:t>
        </w:r>
      </w:hyperlink>
      <w:r>
        <w:rPr>
          <w:rFonts w:ascii="Times New (W1)" w:hAnsi="Times New (W1)" w:hint="cs"/>
          <w:sz w:val="18"/>
          <w:lang w:val="es-ES_tradnl"/>
        </w:rPr>
        <w:t>.</w:t>
      </w:r>
    </w:p>
    <w:p w14:paraId="5757BE50" w14:textId="77777777" w:rsidR="001170FD" w:rsidRDefault="001170FD" w:rsidP="001170FD">
      <w:pPr>
        <w:pStyle w:val="Textoindependiente"/>
        <w:ind w:right="141"/>
        <w:jc w:val="both"/>
        <w:rPr>
          <w:b/>
          <w:i w:val="0"/>
          <w:color w:val="000000"/>
          <w:sz w:val="18"/>
          <w:lang w:val="es-ES_tradnl"/>
        </w:rPr>
      </w:pPr>
    </w:p>
    <w:p w14:paraId="5C2CE405" w14:textId="77777777" w:rsidR="001170FD" w:rsidRDefault="001170FD" w:rsidP="00192ECA">
      <w:pPr>
        <w:tabs>
          <w:tab w:val="left" w:pos="567"/>
        </w:tabs>
        <w:ind w:right="425"/>
        <w:jc w:val="both"/>
        <w:rPr>
          <w:rFonts w:cs="Arial"/>
          <w:lang w:val="es-ES_tradnl"/>
        </w:rPr>
      </w:pPr>
    </w:p>
    <w:p w14:paraId="7E6C7313" w14:textId="77777777" w:rsidR="00AF555D" w:rsidRDefault="00AF555D" w:rsidP="00192ECA">
      <w:pPr>
        <w:tabs>
          <w:tab w:val="left" w:pos="567"/>
        </w:tabs>
        <w:ind w:right="425"/>
        <w:jc w:val="both"/>
        <w:rPr>
          <w:rFonts w:cs="Arial"/>
          <w:lang w:val="es-ES_tradnl"/>
        </w:rPr>
      </w:pPr>
    </w:p>
    <w:p w14:paraId="6097E10C" w14:textId="77777777" w:rsidR="00AF555D" w:rsidRPr="00192ECA" w:rsidRDefault="00AF555D" w:rsidP="000C3A74">
      <w:pPr>
        <w:tabs>
          <w:tab w:val="left" w:pos="567"/>
        </w:tabs>
        <w:ind w:right="425"/>
        <w:jc w:val="both"/>
        <w:rPr>
          <w:rFonts w:cs="Arial"/>
          <w:lang w:val="es-ES_tradnl"/>
        </w:rPr>
      </w:pPr>
    </w:p>
    <w:sectPr w:rsidR="00AF555D" w:rsidRPr="00192ECA" w:rsidSect="00505609">
      <w:headerReference w:type="default" r:id="rId14"/>
      <w:headerReference w:type="firs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E6DC1" w14:textId="77777777" w:rsidR="007100E1" w:rsidRDefault="007100E1" w:rsidP="005A12DE">
      <w:r>
        <w:separator/>
      </w:r>
    </w:p>
  </w:endnote>
  <w:endnote w:type="continuationSeparator" w:id="0">
    <w:p w14:paraId="14B98739" w14:textId="77777777" w:rsidR="007100E1" w:rsidRDefault="007100E1" w:rsidP="005A12DE">
      <w:r>
        <w:continuationSeparator/>
      </w:r>
    </w:p>
  </w:endnote>
  <w:endnote w:type="continuationNotice" w:id="1">
    <w:p w14:paraId="1423D5E8" w14:textId="77777777" w:rsidR="007100E1" w:rsidRDefault="0071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2DF3D" w14:textId="77777777" w:rsidR="007100E1" w:rsidRDefault="007100E1" w:rsidP="005A12DE">
      <w:r>
        <w:separator/>
      </w:r>
    </w:p>
  </w:footnote>
  <w:footnote w:type="continuationSeparator" w:id="0">
    <w:p w14:paraId="01027A75" w14:textId="77777777" w:rsidR="007100E1" w:rsidRDefault="007100E1" w:rsidP="005A12DE">
      <w:r>
        <w:continuationSeparator/>
      </w:r>
    </w:p>
  </w:footnote>
  <w:footnote w:type="continuationNotice" w:id="1">
    <w:p w14:paraId="13DA4B8E" w14:textId="77777777" w:rsidR="007100E1" w:rsidRDefault="00710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7B665" w14:textId="4F48DBC9" w:rsidR="0015356D" w:rsidRDefault="0015356D">
    <w:pPr>
      <w:pStyle w:val="Encabezado"/>
    </w:pPr>
    <w:r>
      <w:rPr>
        <w:noProof/>
      </w:rPr>
      <mc:AlternateContent>
        <mc:Choice Requires="wps">
          <w:drawing>
            <wp:anchor distT="0" distB="0" distL="114300" distR="114300" simplePos="0" relativeHeight="251657216" behindDoc="0" locked="0" layoutInCell="0" allowOverlap="1" wp14:anchorId="392493D9" wp14:editId="4ABE4C2B">
              <wp:simplePos x="0" y="0"/>
              <wp:positionH relativeFrom="page">
                <wp:posOffset>0</wp:posOffset>
              </wp:positionH>
              <wp:positionV relativeFrom="page">
                <wp:posOffset>190500</wp:posOffset>
              </wp:positionV>
              <wp:extent cx="7560310" cy="273050"/>
              <wp:effectExtent l="0" t="0" r="0" b="12700"/>
              <wp:wrapNone/>
              <wp:docPr id="2" name="MSIPCMc19945ddae9405c5dfe678fa"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75859" w14:textId="58CCDCE9" w:rsidR="0015356D" w:rsidRPr="0015356D" w:rsidRDefault="0015356D" w:rsidP="0015356D">
                          <w:pPr>
                            <w:jc w:val="center"/>
                            <w:rPr>
                              <w:rFonts w:ascii="Calibri" w:hAnsi="Calibri" w:cs="Calibri"/>
                              <w:color w:val="000000"/>
                              <w:sz w:val="20"/>
                            </w:rPr>
                          </w:pPr>
                          <w:r w:rsidRPr="0015356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2493D9" id="_x0000_t202" coordsize="21600,21600" o:spt="202" path="m,l,21600r21600,l21600,xe">
              <v:stroke joinstyle="miter"/>
              <v:path gradientshapeok="t" o:connecttype="rect"/>
            </v:shapetype>
            <v:shape id="MSIPCMc19945ddae9405c5dfe678fa"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7D75859" w14:textId="58CCDCE9" w:rsidR="0015356D" w:rsidRPr="0015356D" w:rsidRDefault="0015356D" w:rsidP="0015356D">
                    <w:pPr>
                      <w:jc w:val="center"/>
                      <w:rPr>
                        <w:rFonts w:ascii="Calibri" w:hAnsi="Calibri" w:cs="Calibri"/>
                        <w:color w:val="000000"/>
                        <w:sz w:val="20"/>
                      </w:rPr>
                    </w:pPr>
                    <w:r w:rsidRPr="0015356D">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9C21" w14:textId="2FD3EB06" w:rsidR="005A12DE" w:rsidRPr="00B111A5" w:rsidRDefault="0015356D" w:rsidP="005A12DE">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61312" behindDoc="0" locked="0" layoutInCell="0" allowOverlap="1" wp14:anchorId="6FEC0E15" wp14:editId="0BF630BF">
              <wp:simplePos x="0" y="0"/>
              <wp:positionH relativeFrom="page">
                <wp:posOffset>0</wp:posOffset>
              </wp:positionH>
              <wp:positionV relativeFrom="page">
                <wp:posOffset>190500</wp:posOffset>
              </wp:positionV>
              <wp:extent cx="7560310" cy="273050"/>
              <wp:effectExtent l="0" t="0" r="0" b="12700"/>
              <wp:wrapNone/>
              <wp:docPr id="3" name="MSIPCM81cf4e018c57000676bfe272"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FDF07" w14:textId="07F8AC62" w:rsidR="0015356D" w:rsidRPr="0015356D" w:rsidRDefault="0015356D" w:rsidP="0015356D">
                          <w:pPr>
                            <w:jc w:val="center"/>
                            <w:rPr>
                              <w:rFonts w:ascii="Calibri" w:hAnsi="Calibri" w:cs="Calibri"/>
                              <w:color w:val="000000"/>
                              <w:sz w:val="20"/>
                            </w:rPr>
                          </w:pPr>
                          <w:r w:rsidRPr="0015356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EC0E15" id="_x0000_t202" coordsize="21600,21600" o:spt="202" path="m,l,21600r21600,l21600,xe">
              <v:stroke joinstyle="miter"/>
              <v:path gradientshapeok="t" o:connecttype="rect"/>
            </v:shapetype>
            <v:shape id="MSIPCM81cf4e018c57000676bfe272"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0FFDF07" w14:textId="07F8AC62" w:rsidR="0015356D" w:rsidRPr="0015356D" w:rsidRDefault="0015356D" w:rsidP="0015356D">
                    <w:pPr>
                      <w:jc w:val="center"/>
                      <w:rPr>
                        <w:rFonts w:ascii="Calibri" w:hAnsi="Calibri" w:cs="Calibri"/>
                        <w:color w:val="000000"/>
                        <w:sz w:val="20"/>
                      </w:rPr>
                    </w:pPr>
                    <w:r w:rsidRPr="0015356D">
                      <w:rPr>
                        <w:rFonts w:ascii="Calibri" w:hAnsi="Calibri" w:cs="Calibri"/>
                        <w:color w:val="000000"/>
                        <w:sz w:val="20"/>
                      </w:rPr>
                      <w:t>Internal</w:t>
                    </w:r>
                  </w:p>
                </w:txbxContent>
              </v:textbox>
              <w10:wrap anchorx="page" anchory="page"/>
            </v:shape>
          </w:pict>
        </mc:Fallback>
      </mc:AlternateContent>
    </w:r>
    <w:r w:rsidR="005A12DE" w:rsidRPr="006831CF">
      <w:rPr>
        <w:b/>
        <w:noProof/>
        <w:color w:val="000080"/>
        <w:sz w:val="28"/>
        <w:lang w:eastAsia="es-ES"/>
      </w:rPr>
      <w:drawing>
        <wp:inline distT="0" distB="0" distL="0" distR="0" wp14:anchorId="1C9E2866" wp14:editId="74A92E6B">
          <wp:extent cx="1638935" cy="40513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05130"/>
                  </a:xfrm>
                  <a:prstGeom prst="rect">
                    <a:avLst/>
                  </a:prstGeom>
                  <a:noFill/>
                  <a:ln>
                    <a:noFill/>
                  </a:ln>
                </pic:spPr>
              </pic:pic>
            </a:graphicData>
          </a:graphic>
        </wp:inline>
      </w:drawing>
    </w:r>
  </w:p>
  <w:p w14:paraId="32F29E57" w14:textId="77777777" w:rsidR="005A12DE" w:rsidRDefault="005A12DE" w:rsidP="005A12DE">
    <w:pPr>
      <w:pStyle w:val="Arial14"/>
    </w:pPr>
  </w:p>
  <w:p w14:paraId="20B14F4B" w14:textId="77777777" w:rsidR="005A12DE" w:rsidRDefault="005A12DE" w:rsidP="005A12DE">
    <w:pPr>
      <w:pStyle w:val="Arial14"/>
    </w:pPr>
  </w:p>
  <w:p w14:paraId="4D3BA1FF" w14:textId="77777777" w:rsidR="005A12DE" w:rsidRDefault="005A12DE" w:rsidP="005A12DE">
    <w:pPr>
      <w:pStyle w:val="Arial14"/>
    </w:pPr>
    <w:r>
      <w:t>Allianz Seguros</w:t>
    </w:r>
  </w:p>
  <w:p w14:paraId="03C2A4DB" w14:textId="77777777" w:rsidR="005A12DE" w:rsidRPr="008C15A2" w:rsidRDefault="005A12DE" w:rsidP="005A12DE">
    <w:pPr>
      <w:pStyle w:val="Encabezado"/>
      <w:rPr>
        <w:sz w:val="10"/>
        <w:szCs w:val="10"/>
      </w:rPr>
    </w:pPr>
  </w:p>
  <w:p w14:paraId="5D3B2AA4" w14:textId="77777777" w:rsidR="005A12DE" w:rsidRPr="00875F72" w:rsidRDefault="005A12DE" w:rsidP="005A12DE">
    <w:pPr>
      <w:pStyle w:val="Encabezado"/>
      <w:rPr>
        <w:sz w:val="20"/>
        <w:szCs w:val="20"/>
      </w:rPr>
    </w:pPr>
    <w:r>
      <w:rPr>
        <w:sz w:val="20"/>
        <w:szCs w:val="20"/>
      </w:rPr>
      <w:t>Comunicación Corporativa</w:t>
    </w:r>
  </w:p>
  <w:p w14:paraId="41DFC18D" w14:textId="77777777" w:rsidR="005A12DE" w:rsidRPr="002D46FF" w:rsidRDefault="005A12DE" w:rsidP="005A12DE">
    <w:pPr>
      <w:pStyle w:val="Encabezado"/>
      <w:rPr>
        <w:sz w:val="40"/>
        <w:szCs w:val="40"/>
      </w:rPr>
    </w:pPr>
  </w:p>
  <w:p w14:paraId="40110E3F" w14:textId="77777777" w:rsidR="005A12DE" w:rsidRPr="0057293C" w:rsidRDefault="005A12DE" w:rsidP="005A12DE">
    <w:pPr>
      <w:pStyle w:val="Encabezado"/>
      <w:rPr>
        <w:color w:val="7F7F7F"/>
        <w:sz w:val="44"/>
        <w:szCs w:val="44"/>
      </w:rPr>
    </w:pPr>
    <w:r w:rsidRPr="0057293C">
      <w:rPr>
        <w:color w:val="7F7F7F"/>
        <w:sz w:val="44"/>
        <w:szCs w:val="44"/>
      </w:rPr>
      <w:t>Nota de Prensa</w:t>
    </w:r>
  </w:p>
  <w:p w14:paraId="20CD062A" w14:textId="77777777" w:rsidR="005A12DE" w:rsidRDefault="005A12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F1E29"/>
    <w:multiLevelType w:val="hybridMultilevel"/>
    <w:tmpl w:val="9E7EEB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hint="default"/>
      </w:rPr>
    </w:lvl>
  </w:abstractNum>
  <w:num w:numId="1" w16cid:durableId="979185648">
    <w:abstractNumId w:val="1"/>
  </w:num>
  <w:num w:numId="2" w16cid:durableId="25960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D"/>
    <w:rsid w:val="000078E9"/>
    <w:rsid w:val="000126F2"/>
    <w:rsid w:val="000273AB"/>
    <w:rsid w:val="00027664"/>
    <w:rsid w:val="00030B3D"/>
    <w:rsid w:val="00033C4E"/>
    <w:rsid w:val="00040601"/>
    <w:rsid w:val="0004380A"/>
    <w:rsid w:val="00064772"/>
    <w:rsid w:val="00066F90"/>
    <w:rsid w:val="0007348C"/>
    <w:rsid w:val="00075A48"/>
    <w:rsid w:val="00077BA1"/>
    <w:rsid w:val="00082F5A"/>
    <w:rsid w:val="000C1FF0"/>
    <w:rsid w:val="000C3A74"/>
    <w:rsid w:val="000C5F04"/>
    <w:rsid w:val="000C5F9B"/>
    <w:rsid w:val="000C790F"/>
    <w:rsid w:val="000D5404"/>
    <w:rsid w:val="000D5D3B"/>
    <w:rsid w:val="000E09D8"/>
    <w:rsid w:val="000F2C50"/>
    <w:rsid w:val="000F6F54"/>
    <w:rsid w:val="0010016F"/>
    <w:rsid w:val="00102ABE"/>
    <w:rsid w:val="001170FD"/>
    <w:rsid w:val="001209DB"/>
    <w:rsid w:val="00125CA3"/>
    <w:rsid w:val="00130209"/>
    <w:rsid w:val="00133722"/>
    <w:rsid w:val="00136E6B"/>
    <w:rsid w:val="00140352"/>
    <w:rsid w:val="00152C68"/>
    <w:rsid w:val="0015356D"/>
    <w:rsid w:val="001653AA"/>
    <w:rsid w:val="00167E61"/>
    <w:rsid w:val="00170540"/>
    <w:rsid w:val="00183D2F"/>
    <w:rsid w:val="00192ECA"/>
    <w:rsid w:val="00194C21"/>
    <w:rsid w:val="001966EF"/>
    <w:rsid w:val="001A257D"/>
    <w:rsid w:val="001A3E11"/>
    <w:rsid w:val="001A7768"/>
    <w:rsid w:val="001B5E65"/>
    <w:rsid w:val="001C0E25"/>
    <w:rsid w:val="001C1D7B"/>
    <w:rsid w:val="001D5614"/>
    <w:rsid w:val="001E35DF"/>
    <w:rsid w:val="001E5CC2"/>
    <w:rsid w:val="00201B7C"/>
    <w:rsid w:val="0020746A"/>
    <w:rsid w:val="002122CC"/>
    <w:rsid w:val="00221281"/>
    <w:rsid w:val="002247D7"/>
    <w:rsid w:val="002408CE"/>
    <w:rsid w:val="00241AC0"/>
    <w:rsid w:val="00244384"/>
    <w:rsid w:val="00252758"/>
    <w:rsid w:val="00255184"/>
    <w:rsid w:val="00257BDB"/>
    <w:rsid w:val="0026227C"/>
    <w:rsid w:val="00265966"/>
    <w:rsid w:val="002822C8"/>
    <w:rsid w:val="00283795"/>
    <w:rsid w:val="00286D4C"/>
    <w:rsid w:val="00295A34"/>
    <w:rsid w:val="002A59BB"/>
    <w:rsid w:val="002B759D"/>
    <w:rsid w:val="002D2313"/>
    <w:rsid w:val="002D2F86"/>
    <w:rsid w:val="002D6A92"/>
    <w:rsid w:val="002F08B7"/>
    <w:rsid w:val="002F149A"/>
    <w:rsid w:val="002F1CB6"/>
    <w:rsid w:val="002F3846"/>
    <w:rsid w:val="002F4D53"/>
    <w:rsid w:val="00303A82"/>
    <w:rsid w:val="00307B51"/>
    <w:rsid w:val="0031438F"/>
    <w:rsid w:val="003238DF"/>
    <w:rsid w:val="00325F65"/>
    <w:rsid w:val="003332FB"/>
    <w:rsid w:val="00341FB5"/>
    <w:rsid w:val="00345A3B"/>
    <w:rsid w:val="00347464"/>
    <w:rsid w:val="00347E17"/>
    <w:rsid w:val="00354986"/>
    <w:rsid w:val="0036122C"/>
    <w:rsid w:val="0036302D"/>
    <w:rsid w:val="00364C96"/>
    <w:rsid w:val="00370C36"/>
    <w:rsid w:val="003725C3"/>
    <w:rsid w:val="0038160F"/>
    <w:rsid w:val="00385340"/>
    <w:rsid w:val="00392C3F"/>
    <w:rsid w:val="00392D55"/>
    <w:rsid w:val="003D2FAA"/>
    <w:rsid w:val="003D3F28"/>
    <w:rsid w:val="003D7871"/>
    <w:rsid w:val="003E0F65"/>
    <w:rsid w:val="003E27E0"/>
    <w:rsid w:val="00410B6F"/>
    <w:rsid w:val="00415A5C"/>
    <w:rsid w:val="00430A29"/>
    <w:rsid w:val="00436D0F"/>
    <w:rsid w:val="00437183"/>
    <w:rsid w:val="0043793D"/>
    <w:rsid w:val="00440445"/>
    <w:rsid w:val="0048081F"/>
    <w:rsid w:val="004836C8"/>
    <w:rsid w:val="00492734"/>
    <w:rsid w:val="0049679B"/>
    <w:rsid w:val="004A5134"/>
    <w:rsid w:val="004C3D21"/>
    <w:rsid w:val="004C7475"/>
    <w:rsid w:val="004E29A0"/>
    <w:rsid w:val="004E37AF"/>
    <w:rsid w:val="004E6433"/>
    <w:rsid w:val="004F1378"/>
    <w:rsid w:val="00505609"/>
    <w:rsid w:val="00511E82"/>
    <w:rsid w:val="005260EA"/>
    <w:rsid w:val="00535FCB"/>
    <w:rsid w:val="00551CFB"/>
    <w:rsid w:val="0055670D"/>
    <w:rsid w:val="005573D4"/>
    <w:rsid w:val="00562FFF"/>
    <w:rsid w:val="0056337B"/>
    <w:rsid w:val="005665C0"/>
    <w:rsid w:val="00576F38"/>
    <w:rsid w:val="00580AC6"/>
    <w:rsid w:val="00582E19"/>
    <w:rsid w:val="00584367"/>
    <w:rsid w:val="005A12DE"/>
    <w:rsid w:val="005B08D9"/>
    <w:rsid w:val="005D1B86"/>
    <w:rsid w:val="005D1C6F"/>
    <w:rsid w:val="005D30CF"/>
    <w:rsid w:val="005E138D"/>
    <w:rsid w:val="005F729B"/>
    <w:rsid w:val="00603018"/>
    <w:rsid w:val="0060790A"/>
    <w:rsid w:val="00622D37"/>
    <w:rsid w:val="006512BC"/>
    <w:rsid w:val="00653F20"/>
    <w:rsid w:val="00654E94"/>
    <w:rsid w:val="006567A4"/>
    <w:rsid w:val="00656CE8"/>
    <w:rsid w:val="00656CFB"/>
    <w:rsid w:val="006705C8"/>
    <w:rsid w:val="006A08AD"/>
    <w:rsid w:val="006A0A78"/>
    <w:rsid w:val="006A0F22"/>
    <w:rsid w:val="006A6075"/>
    <w:rsid w:val="006B1500"/>
    <w:rsid w:val="006C66AC"/>
    <w:rsid w:val="006C6D6E"/>
    <w:rsid w:val="006F178F"/>
    <w:rsid w:val="007010EA"/>
    <w:rsid w:val="00707C4C"/>
    <w:rsid w:val="007100E1"/>
    <w:rsid w:val="00727077"/>
    <w:rsid w:val="0073446D"/>
    <w:rsid w:val="00741AA6"/>
    <w:rsid w:val="00753636"/>
    <w:rsid w:val="00760C0A"/>
    <w:rsid w:val="00763BE2"/>
    <w:rsid w:val="00773A10"/>
    <w:rsid w:val="00774191"/>
    <w:rsid w:val="00782484"/>
    <w:rsid w:val="00790A18"/>
    <w:rsid w:val="00791F59"/>
    <w:rsid w:val="00792B02"/>
    <w:rsid w:val="007955D1"/>
    <w:rsid w:val="007A6099"/>
    <w:rsid w:val="007D315E"/>
    <w:rsid w:val="007E3D9C"/>
    <w:rsid w:val="007F6BF8"/>
    <w:rsid w:val="008006F8"/>
    <w:rsid w:val="008015D0"/>
    <w:rsid w:val="00816F1C"/>
    <w:rsid w:val="00824099"/>
    <w:rsid w:val="008330E9"/>
    <w:rsid w:val="00843CCE"/>
    <w:rsid w:val="008507B4"/>
    <w:rsid w:val="008605AD"/>
    <w:rsid w:val="00875962"/>
    <w:rsid w:val="008765F3"/>
    <w:rsid w:val="00881B9D"/>
    <w:rsid w:val="0088392A"/>
    <w:rsid w:val="008858D2"/>
    <w:rsid w:val="00891CBF"/>
    <w:rsid w:val="00893FCE"/>
    <w:rsid w:val="008B225C"/>
    <w:rsid w:val="008B35D9"/>
    <w:rsid w:val="008B53FE"/>
    <w:rsid w:val="008C0EAA"/>
    <w:rsid w:val="008D29DD"/>
    <w:rsid w:val="008E00F1"/>
    <w:rsid w:val="008E6D84"/>
    <w:rsid w:val="008F0303"/>
    <w:rsid w:val="009001FE"/>
    <w:rsid w:val="009116DF"/>
    <w:rsid w:val="00914F81"/>
    <w:rsid w:val="00916CAD"/>
    <w:rsid w:val="00920CA3"/>
    <w:rsid w:val="00927765"/>
    <w:rsid w:val="009415FE"/>
    <w:rsid w:val="00944C16"/>
    <w:rsid w:val="00945580"/>
    <w:rsid w:val="00945B8D"/>
    <w:rsid w:val="009574A4"/>
    <w:rsid w:val="00987AA6"/>
    <w:rsid w:val="00987E79"/>
    <w:rsid w:val="00996820"/>
    <w:rsid w:val="00997D4E"/>
    <w:rsid w:val="009B0CE2"/>
    <w:rsid w:val="009B106D"/>
    <w:rsid w:val="009F7960"/>
    <w:rsid w:val="00A049D6"/>
    <w:rsid w:val="00A05485"/>
    <w:rsid w:val="00A116A4"/>
    <w:rsid w:val="00A15584"/>
    <w:rsid w:val="00A219F9"/>
    <w:rsid w:val="00A32CEE"/>
    <w:rsid w:val="00A36BB7"/>
    <w:rsid w:val="00A37E18"/>
    <w:rsid w:val="00A466A5"/>
    <w:rsid w:val="00A50ED1"/>
    <w:rsid w:val="00A72F4C"/>
    <w:rsid w:val="00A7580B"/>
    <w:rsid w:val="00A863CB"/>
    <w:rsid w:val="00A95B1B"/>
    <w:rsid w:val="00AA2EE9"/>
    <w:rsid w:val="00AA5C9D"/>
    <w:rsid w:val="00AB48AB"/>
    <w:rsid w:val="00AB5CCC"/>
    <w:rsid w:val="00AC04FF"/>
    <w:rsid w:val="00AC5C8F"/>
    <w:rsid w:val="00AC62BA"/>
    <w:rsid w:val="00AD66CF"/>
    <w:rsid w:val="00AE04FD"/>
    <w:rsid w:val="00AE2375"/>
    <w:rsid w:val="00AE2475"/>
    <w:rsid w:val="00AE7966"/>
    <w:rsid w:val="00AF2BB2"/>
    <w:rsid w:val="00AF555D"/>
    <w:rsid w:val="00AF78C8"/>
    <w:rsid w:val="00B06746"/>
    <w:rsid w:val="00B1478F"/>
    <w:rsid w:val="00B2331F"/>
    <w:rsid w:val="00B31817"/>
    <w:rsid w:val="00B33897"/>
    <w:rsid w:val="00B41239"/>
    <w:rsid w:val="00B43381"/>
    <w:rsid w:val="00B56575"/>
    <w:rsid w:val="00B66B68"/>
    <w:rsid w:val="00B7539A"/>
    <w:rsid w:val="00B926A2"/>
    <w:rsid w:val="00BA437E"/>
    <w:rsid w:val="00BB2255"/>
    <w:rsid w:val="00BB5EBC"/>
    <w:rsid w:val="00BC022F"/>
    <w:rsid w:val="00BC1A9E"/>
    <w:rsid w:val="00BC5C93"/>
    <w:rsid w:val="00BD31A0"/>
    <w:rsid w:val="00BD5C6F"/>
    <w:rsid w:val="00BD74F8"/>
    <w:rsid w:val="00BD785B"/>
    <w:rsid w:val="00BE0C5C"/>
    <w:rsid w:val="00BE2FE5"/>
    <w:rsid w:val="00BE399C"/>
    <w:rsid w:val="00BF58D7"/>
    <w:rsid w:val="00BF5DE7"/>
    <w:rsid w:val="00C105A1"/>
    <w:rsid w:val="00C11F18"/>
    <w:rsid w:val="00C16A78"/>
    <w:rsid w:val="00C55B23"/>
    <w:rsid w:val="00C55CBC"/>
    <w:rsid w:val="00C566EA"/>
    <w:rsid w:val="00C638DA"/>
    <w:rsid w:val="00C64F6A"/>
    <w:rsid w:val="00C67F4D"/>
    <w:rsid w:val="00C70170"/>
    <w:rsid w:val="00C7034B"/>
    <w:rsid w:val="00C70835"/>
    <w:rsid w:val="00C74BD5"/>
    <w:rsid w:val="00C74E50"/>
    <w:rsid w:val="00C7771A"/>
    <w:rsid w:val="00C93BBC"/>
    <w:rsid w:val="00C95410"/>
    <w:rsid w:val="00CA14DA"/>
    <w:rsid w:val="00CA1AC8"/>
    <w:rsid w:val="00CC121C"/>
    <w:rsid w:val="00CC2542"/>
    <w:rsid w:val="00CD62CC"/>
    <w:rsid w:val="00D14E8F"/>
    <w:rsid w:val="00D2352A"/>
    <w:rsid w:val="00D31F31"/>
    <w:rsid w:val="00D35129"/>
    <w:rsid w:val="00D36F84"/>
    <w:rsid w:val="00D52355"/>
    <w:rsid w:val="00D60095"/>
    <w:rsid w:val="00D645E6"/>
    <w:rsid w:val="00D6547D"/>
    <w:rsid w:val="00D7209E"/>
    <w:rsid w:val="00D72586"/>
    <w:rsid w:val="00D81E6E"/>
    <w:rsid w:val="00D844A8"/>
    <w:rsid w:val="00DA4E03"/>
    <w:rsid w:val="00DC14DD"/>
    <w:rsid w:val="00DC3F03"/>
    <w:rsid w:val="00DC77B0"/>
    <w:rsid w:val="00DD1B74"/>
    <w:rsid w:val="00DD20F6"/>
    <w:rsid w:val="00E02C8D"/>
    <w:rsid w:val="00E105AF"/>
    <w:rsid w:val="00E11311"/>
    <w:rsid w:val="00E173E5"/>
    <w:rsid w:val="00E22110"/>
    <w:rsid w:val="00E27947"/>
    <w:rsid w:val="00E35D21"/>
    <w:rsid w:val="00E5137A"/>
    <w:rsid w:val="00E62456"/>
    <w:rsid w:val="00E62978"/>
    <w:rsid w:val="00E66F05"/>
    <w:rsid w:val="00E673A9"/>
    <w:rsid w:val="00E6793E"/>
    <w:rsid w:val="00E716C5"/>
    <w:rsid w:val="00E738CF"/>
    <w:rsid w:val="00E765B9"/>
    <w:rsid w:val="00E8450A"/>
    <w:rsid w:val="00E95809"/>
    <w:rsid w:val="00EA45E9"/>
    <w:rsid w:val="00EB3886"/>
    <w:rsid w:val="00ED50D2"/>
    <w:rsid w:val="00ED6EB3"/>
    <w:rsid w:val="00EE555F"/>
    <w:rsid w:val="00EE631D"/>
    <w:rsid w:val="00EF7A49"/>
    <w:rsid w:val="00F00C33"/>
    <w:rsid w:val="00F01232"/>
    <w:rsid w:val="00F05A5F"/>
    <w:rsid w:val="00F11BE1"/>
    <w:rsid w:val="00F13C72"/>
    <w:rsid w:val="00F15F3B"/>
    <w:rsid w:val="00F21174"/>
    <w:rsid w:val="00F24E68"/>
    <w:rsid w:val="00F31CEB"/>
    <w:rsid w:val="00F4164E"/>
    <w:rsid w:val="00F54DD0"/>
    <w:rsid w:val="00F576AE"/>
    <w:rsid w:val="00F61F80"/>
    <w:rsid w:val="00F67272"/>
    <w:rsid w:val="00F746DB"/>
    <w:rsid w:val="00F77B82"/>
    <w:rsid w:val="00F85E75"/>
    <w:rsid w:val="00FA59FE"/>
    <w:rsid w:val="00FD0654"/>
    <w:rsid w:val="00FE2057"/>
    <w:rsid w:val="00FE5D2E"/>
    <w:rsid w:val="00FE7F68"/>
    <w:rsid w:val="00FF2906"/>
    <w:rsid w:val="00FF3133"/>
    <w:rsid w:val="019CF753"/>
    <w:rsid w:val="0330063B"/>
    <w:rsid w:val="05836904"/>
    <w:rsid w:val="06687CE4"/>
    <w:rsid w:val="10F1E552"/>
    <w:rsid w:val="110B0DAF"/>
    <w:rsid w:val="115C8B93"/>
    <w:rsid w:val="14B39901"/>
    <w:rsid w:val="164F6962"/>
    <w:rsid w:val="17D1DBCA"/>
    <w:rsid w:val="1895CCE2"/>
    <w:rsid w:val="1C60BF5D"/>
    <w:rsid w:val="228095A4"/>
    <w:rsid w:val="24479764"/>
    <w:rsid w:val="2703C298"/>
    <w:rsid w:val="273FF226"/>
    <w:rsid w:val="2741A6C5"/>
    <w:rsid w:val="277F3826"/>
    <w:rsid w:val="2D7058AB"/>
    <w:rsid w:val="2EEE914D"/>
    <w:rsid w:val="2F31DBAE"/>
    <w:rsid w:val="32C1EACD"/>
    <w:rsid w:val="34B547C5"/>
    <w:rsid w:val="353026AE"/>
    <w:rsid w:val="36FBED56"/>
    <w:rsid w:val="3B7C8E22"/>
    <w:rsid w:val="3C109452"/>
    <w:rsid w:val="3EEEEADD"/>
    <w:rsid w:val="454737A9"/>
    <w:rsid w:val="473D4EFF"/>
    <w:rsid w:val="47EF342C"/>
    <w:rsid w:val="48F6CF44"/>
    <w:rsid w:val="4C2E7006"/>
    <w:rsid w:val="52099883"/>
    <w:rsid w:val="54A3678D"/>
    <w:rsid w:val="54BC60F4"/>
    <w:rsid w:val="550159E1"/>
    <w:rsid w:val="57582FEC"/>
    <w:rsid w:val="5BC01857"/>
    <w:rsid w:val="61F31A6A"/>
    <w:rsid w:val="64D5DB9C"/>
    <w:rsid w:val="66C610AC"/>
    <w:rsid w:val="6A41796D"/>
    <w:rsid w:val="6B99B76B"/>
    <w:rsid w:val="6B9F44D4"/>
    <w:rsid w:val="6CBC7DE0"/>
    <w:rsid w:val="719FFBE5"/>
    <w:rsid w:val="7AAE0DCE"/>
    <w:rsid w:val="7B2DB5CE"/>
    <w:rsid w:val="7C669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66151"/>
  <w15:chartTrackingRefBased/>
  <w15:docId w15:val="{CF9EC4B0-41E8-4B6A-974E-88FFBE31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D"/>
    <w:pPr>
      <w:spacing w:after="0" w:line="240" w:lineRule="auto"/>
    </w:pPr>
    <w:rPr>
      <w:rFonts w:ascii="Arial" w:eastAsia="Times New Roman" w:hAnsi="Arial" w:cs="Times New Roman"/>
      <w:lang w:eastAsia="de-DE"/>
    </w:rPr>
  </w:style>
  <w:style w:type="paragraph" w:styleId="Ttulo4">
    <w:name w:val="heading 4"/>
    <w:basedOn w:val="Normal"/>
    <w:next w:val="Normal"/>
    <w:link w:val="Ttulo4Car"/>
    <w:semiHidden/>
    <w:unhideWhenUsed/>
    <w:qFormat/>
    <w:rsid w:val="001170FD"/>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1170FD"/>
    <w:rPr>
      <w:rFonts w:ascii="Times New Roman" w:eastAsia="Times New Roman" w:hAnsi="Times New Roman" w:cs="Times New Roman"/>
      <w:sz w:val="24"/>
      <w:szCs w:val="20"/>
      <w:lang w:val="es-ES_tradnl" w:eastAsia="es-ES"/>
    </w:rPr>
  </w:style>
  <w:style w:type="character" w:styleId="Hipervnculo">
    <w:name w:val="Hyperlink"/>
    <w:unhideWhenUsed/>
    <w:rsid w:val="001170FD"/>
    <w:rPr>
      <w:color w:val="0000FF"/>
      <w:u w:val="single"/>
    </w:rPr>
  </w:style>
  <w:style w:type="paragraph" w:styleId="Textoindependiente">
    <w:name w:val="Body Text"/>
    <w:basedOn w:val="Normal"/>
    <w:link w:val="TextoindependienteCar"/>
    <w:semiHidden/>
    <w:unhideWhenUsed/>
    <w:rsid w:val="001170FD"/>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semiHidden/>
    <w:rsid w:val="001170FD"/>
    <w:rPr>
      <w:rFonts w:ascii="Times New Roman" w:eastAsia="Times New Roman" w:hAnsi="Times New Roman" w:cs="Times New Roman"/>
      <w:i/>
      <w:iCs/>
      <w:sz w:val="24"/>
      <w:szCs w:val="24"/>
      <w:lang w:val="en-GB"/>
    </w:rPr>
  </w:style>
  <w:style w:type="paragraph" w:styleId="Textodeglobo">
    <w:name w:val="Balloon Text"/>
    <w:basedOn w:val="Normal"/>
    <w:link w:val="TextodegloboCar"/>
    <w:uiPriority w:val="99"/>
    <w:semiHidden/>
    <w:unhideWhenUsed/>
    <w:rsid w:val="00C708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835"/>
    <w:rPr>
      <w:rFonts w:ascii="Segoe UI" w:eastAsia="Times New Roman" w:hAnsi="Segoe UI" w:cs="Segoe UI"/>
      <w:sz w:val="18"/>
      <w:szCs w:val="18"/>
      <w:lang w:eastAsia="de-DE"/>
    </w:rPr>
  </w:style>
  <w:style w:type="character" w:styleId="Refdecomentario">
    <w:name w:val="annotation reference"/>
    <w:basedOn w:val="Fuentedeprrafopredeter"/>
    <w:uiPriority w:val="99"/>
    <w:semiHidden/>
    <w:unhideWhenUsed/>
    <w:rsid w:val="006A0A78"/>
    <w:rPr>
      <w:sz w:val="16"/>
      <w:szCs w:val="16"/>
    </w:rPr>
  </w:style>
  <w:style w:type="paragraph" w:styleId="Textocomentario">
    <w:name w:val="annotation text"/>
    <w:basedOn w:val="Normal"/>
    <w:link w:val="TextocomentarioCar"/>
    <w:uiPriority w:val="99"/>
    <w:semiHidden/>
    <w:unhideWhenUsed/>
    <w:rsid w:val="006A0A78"/>
    <w:rPr>
      <w:sz w:val="20"/>
      <w:szCs w:val="20"/>
    </w:rPr>
  </w:style>
  <w:style w:type="character" w:customStyle="1" w:styleId="TextocomentarioCar">
    <w:name w:val="Texto comentario Car"/>
    <w:basedOn w:val="Fuentedeprrafopredeter"/>
    <w:link w:val="Textocomentario"/>
    <w:uiPriority w:val="99"/>
    <w:semiHidden/>
    <w:rsid w:val="006A0A78"/>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6A0A78"/>
    <w:rPr>
      <w:b/>
      <w:bCs/>
    </w:rPr>
  </w:style>
  <w:style w:type="character" w:customStyle="1" w:styleId="AsuntodelcomentarioCar">
    <w:name w:val="Asunto del comentario Car"/>
    <w:basedOn w:val="TextocomentarioCar"/>
    <w:link w:val="Asuntodelcomentario"/>
    <w:uiPriority w:val="99"/>
    <w:semiHidden/>
    <w:rsid w:val="006A0A78"/>
    <w:rPr>
      <w:rFonts w:ascii="Arial" w:eastAsia="Times New Roman" w:hAnsi="Arial" w:cs="Times New Roman"/>
      <w:b/>
      <w:bCs/>
      <w:sz w:val="20"/>
      <w:szCs w:val="20"/>
      <w:lang w:eastAsia="de-DE"/>
    </w:rPr>
  </w:style>
  <w:style w:type="paragraph" w:styleId="Encabezado">
    <w:name w:val="header"/>
    <w:basedOn w:val="Normal"/>
    <w:link w:val="EncabezadoCar"/>
    <w:unhideWhenUsed/>
    <w:rsid w:val="005A12DE"/>
    <w:pPr>
      <w:tabs>
        <w:tab w:val="center" w:pos="4252"/>
        <w:tab w:val="right" w:pos="8504"/>
      </w:tabs>
    </w:pPr>
  </w:style>
  <w:style w:type="character" w:customStyle="1" w:styleId="EncabezadoCar">
    <w:name w:val="Encabezado Car"/>
    <w:basedOn w:val="Fuentedeprrafopredeter"/>
    <w:link w:val="Encabezado"/>
    <w:rsid w:val="005A12DE"/>
    <w:rPr>
      <w:rFonts w:ascii="Arial" w:eastAsia="Times New Roman" w:hAnsi="Arial" w:cs="Times New Roman"/>
      <w:lang w:eastAsia="de-DE"/>
    </w:rPr>
  </w:style>
  <w:style w:type="paragraph" w:styleId="Piedepgina">
    <w:name w:val="footer"/>
    <w:basedOn w:val="Normal"/>
    <w:link w:val="PiedepginaCar"/>
    <w:uiPriority w:val="99"/>
    <w:unhideWhenUsed/>
    <w:rsid w:val="005A12DE"/>
    <w:pPr>
      <w:tabs>
        <w:tab w:val="center" w:pos="4252"/>
        <w:tab w:val="right" w:pos="8504"/>
      </w:tabs>
    </w:pPr>
  </w:style>
  <w:style w:type="character" w:customStyle="1" w:styleId="PiedepginaCar">
    <w:name w:val="Pie de página Car"/>
    <w:basedOn w:val="Fuentedeprrafopredeter"/>
    <w:link w:val="Piedepgina"/>
    <w:uiPriority w:val="99"/>
    <w:rsid w:val="005A12DE"/>
    <w:rPr>
      <w:rFonts w:ascii="Arial" w:eastAsia="Times New Roman" w:hAnsi="Arial" w:cs="Times New Roman"/>
      <w:lang w:eastAsia="de-DE"/>
    </w:rPr>
  </w:style>
  <w:style w:type="paragraph" w:customStyle="1" w:styleId="Arial14">
    <w:name w:val="Arial 14"/>
    <w:basedOn w:val="Normal"/>
    <w:rsid w:val="005A12DE"/>
    <w:rPr>
      <w:rFonts w:ascii="Helv" w:hAnsi="Helv"/>
      <w:noProof/>
      <w:snapToGrid w:val="0"/>
      <w:sz w:val="28"/>
      <w:szCs w:val="20"/>
    </w:rPr>
  </w:style>
  <w:style w:type="paragraph" w:styleId="Revisin">
    <w:name w:val="Revision"/>
    <w:hidden/>
    <w:uiPriority w:val="99"/>
    <w:semiHidden/>
    <w:rsid w:val="0015356D"/>
    <w:pPr>
      <w:spacing w:after="0" w:line="240" w:lineRule="auto"/>
    </w:pPr>
    <w:rPr>
      <w:rFonts w:ascii="Arial" w:eastAsia="Times New Roman" w:hAnsi="Arial" w:cs="Times New Roman"/>
      <w:lang w:eastAsia="de-DE"/>
    </w:rPr>
  </w:style>
  <w:style w:type="paragraph" w:styleId="Prrafodelista">
    <w:name w:val="List Paragraph"/>
    <w:basedOn w:val="Normal"/>
    <w:uiPriority w:val="34"/>
    <w:qFormat/>
    <w:rsid w:val="00385340"/>
    <w:pPr>
      <w:ind w:left="720"/>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600340">
      <w:bodyDiv w:val="1"/>
      <w:marLeft w:val="0"/>
      <w:marRight w:val="0"/>
      <w:marTop w:val="0"/>
      <w:marBottom w:val="0"/>
      <w:divBdr>
        <w:top w:val="none" w:sz="0" w:space="0" w:color="auto"/>
        <w:left w:val="none" w:sz="0" w:space="0" w:color="auto"/>
        <w:bottom w:val="none" w:sz="0" w:space="0" w:color="auto"/>
        <w:right w:val="none" w:sz="0" w:space="0" w:color="auto"/>
      </w:divBdr>
    </w:div>
    <w:div w:id="19169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lianz.es/descubre-allianz/actualidad/enlaces-de-inter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de contrato para retención" ma:contentTypeID="0x010100D45E6E72D8714CC7944D4D047D7ED38D00F4A4AB4938F61541A37297F5A676FA57" ma:contentTypeVersion="20" ma:contentTypeDescription="Documento de contrato para retención" ma:contentTypeScope="" ma:versionID="00eec27d6b53cf783505345a5bc9b461">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467730e9f1db25cd3fe1760bcd460a58" ns2:_="" ns3:_="">
    <xsd:import namespace="9ff07a45-11f5-479e-a441-cd98a86709fe"/>
    <xsd:import namespace="5d5361cd-dd21-42bb-ace1-e1b72dd4ac82"/>
    <xsd:element name="properties">
      <xsd:complexType>
        <xsd:sequence>
          <xsd:element name="documentManagement">
            <xsd:complexType>
              <xsd:all>
                <xsd:element ref="ns2:ContractType"/>
                <xsd:element ref="ns2:ContractStatus"/>
                <xsd:element ref="ns2:ContractManagers" minOccurs="0"/>
                <xsd:element ref="ns2:OutsourcingAgreement" minOccurs="0"/>
                <xsd:element ref="ns2:AlDescription" minOccurs="0"/>
                <xsd:element ref="ns2:ContractDate" minOccurs="0"/>
                <xsd:element ref="ns2:ContractExpirationDate" minOccurs="0"/>
                <xsd:element ref="ns2:MaterialContract" minOccurs="0"/>
                <xsd:element ref="ns2:ExternalContractingParties" minOccurs="0"/>
                <xsd:element ref="ns2:PlaceOfOriginal" minOccurs="0"/>
                <xsd:element ref="ns3:lcf76f155ced4ddcb4097134ff3c332f" minOccurs="0"/>
                <xsd:element ref="ns2:TaxCatchAll" minOccurs="0"/>
                <xsd:element ref="ns2:_dlc_DocId" minOccurs="0"/>
                <xsd:element ref="ns2:_dlc_DocIdUrl" minOccurs="0"/>
                <xsd:element ref="ns2:_dlc_DocIdPersistId" minOccurs="0"/>
                <xsd:element ref="ns2:l6856d4619ce496882360609f9fc1dec" minOccurs="0"/>
                <xsd:element ref="ns2:DossierOwner"/>
                <xsd:element ref="ns2:Dossier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2" ma:displayName="Tipo de contrato" ma:description="Atributo para clasificar el contrato. Seleccione un valor entre tipos de contrato estándar o tipos de contrato especiales." ma:format="Dropdown" ma:internalName="ContractTyp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3" ma:displayName="Estado del contrato" ma:default="Sequía" ma:description="El estado del contrato." ma:format="Dropdown" ma:internalName="ContractStatus">
      <xsd:simpleType>
        <xsd:restriction base="dms:Choice">
          <xsd:enumeration value="Sequía"/>
          <xsd:enumeration value="Activo"/>
          <xsd:enumeration value="Terminado"/>
        </xsd:restriction>
      </xsd:simpleType>
    </xsd:element>
    <xsd:element name="ContractManagers" ma:index="4"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5"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AlDescription" ma:index="6" nillable="true" ma:displayName="Descripción del documento" ma:description="Ingrese descripciones o comentarios sobre el asunto si es necesario." ma:internalName="AlDescription">
      <xsd:simpleType>
        <xsd:restriction base="dms:Text"/>
      </xsd:simpleType>
    </xsd:element>
    <xsd:element name="ContractDate" ma:index="7" nillable="true" ma:displayName="Fecha del contrato" ma:description="Fecha de celebración del contrato." ma:format="DateOnly" ma:internalName="ContractDate">
      <xsd:simpleType>
        <xsd:restriction base="dms:DateTime"/>
      </xsd:simpleType>
    </xsd:element>
    <xsd:element name="ContractExpirationDate" ma:index="8" nillable="true" ma:displayName="Fecha de expiración" ma:description="Fecha cuando expira/ finaliza el contrato." ma:format="DateOnly" ma:internalName="ContractExpirationDate">
      <xsd:simpleType>
        <xsd:restriction base="dms:DateTime"/>
      </xsd:simpleType>
    </xsd:element>
    <xsd:element name="MaterialContract" ma:index="9" nillable="true" ma:displayName="Contrato con umbral materal" ma:description="Identificar si el contrato tiene umbral material." ma:format="Dropdown" ma:internalName="MaterialContract">
      <xsd:simpleType>
        <xsd:restriction base="dms:Boolean"/>
      </xsd:simpleType>
    </xsd:element>
    <xsd:element name="ExternalContractingParties" ma:index="10" nillable="true" ma:displayName="Partes contratantes externas" ma:description="Nombre(s) de las partes contratantes externas." ma:internalName="ExternalContractingParties">
      <xsd:simpleType>
        <xsd:restriction base="dms:Text"/>
      </xsd:simpleType>
    </xsd:element>
    <xsd:element name="PlaceOfOriginal" ma:index="11"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TaxCatchAll" ma:index="19"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l6856d4619ce496882360609f9fc1dec" ma:index="23" nillable="true" ma:taxonomy="true" ma:internalName="l6856d4619ce496882360609f9fc1dec" ma:taxonomyFieldName="Contract_Type" ma:displayName="Tipo de contrato"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DossierOwner" ma:index="25" ma:displayName="Propietario(s) del expediente" ma:description="Persona(s) propietarias del expedient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26" ma:displayName="Estado del expediente" ma:default="" ma:description="Indica el estatus del dosier." ma:format="Dropdown" ma:internalName="DossierStatus">
      <xsd:simpleType>
        <xsd:restriction base="dms:Choice">
          <xsd:enumeration value="Abierto"/>
          <xsd:enumeration value="Cerrado"/>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5361cd-dd21-42bb-ace1-e1b72dd4ac82" xsi:nil="true"/>
    <TaxCatchAll xmlns="9ff07a45-11f5-479e-a441-cd98a86709fe" xsi:nil="true"/>
    <PlaceOfOriginal xmlns="9ff07a45-11f5-479e-a441-cd98a86709fe" xsi:nil="true"/>
    <AlDescription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ContractType xmlns="9ff07a45-11f5-479e-a441-cd98a86709fe"/>
    <ContractExpirationDate xmlns="9ff07a45-11f5-479e-a441-cd98a86709fe" xsi:nil="true"/>
    <ExternalContractingParties xmlns="9ff07a45-11f5-479e-a441-cd98a86709fe" xsi:nil="true"/>
    <DossierOwner xmlns="9ff07a45-11f5-479e-a441-cd98a86709fe">
      <UserInfo>
        <DisplayName/>
        <AccountId/>
        <AccountType/>
      </UserInfo>
    </DossierOwner>
    <ContractStatus xmlns="9ff07a45-11f5-479e-a441-cd98a86709fe">Sequía</ContractStatus>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https://allianzms.sharepoint.com/teams/ES0006-3163019/_layouts/15/DocIdRedir.aspx?ID=XU7P7SY2DP3Q-491014520-181289</Url>
      <Description>XU7P7SY2DP3Q-491014520-181289</Description>
    </_dlc_DocIdUrl>
    <_dlc_DocId xmlns="9ff07a45-11f5-479e-a441-cd98a86709fe">XU7P7SY2DP3Q-491014520-181289</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CFF37-5D1A-4B0A-B0D5-64BFE32DD9AA}">
  <ds:schemaRefs>
    <ds:schemaRef ds:uri="http://schemas.microsoft.com/sharepoint/events"/>
  </ds:schemaRefs>
</ds:datastoreItem>
</file>

<file path=customXml/itemProps2.xml><?xml version="1.0" encoding="utf-8"?>
<ds:datastoreItem xmlns:ds="http://schemas.openxmlformats.org/officeDocument/2006/customXml" ds:itemID="{42C1797C-15F9-4940-B831-2BC512763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61338-D484-4226-BF05-579843A90FF0}">
  <ds:schemaRefs>
    <ds:schemaRef ds:uri="http://schemas.openxmlformats.org/officeDocument/2006/bibliography"/>
  </ds:schemaRefs>
</ds:datastoreItem>
</file>

<file path=customXml/itemProps4.xml><?xml version="1.0" encoding="utf-8"?>
<ds:datastoreItem xmlns:ds="http://schemas.openxmlformats.org/officeDocument/2006/customXml" ds:itemID="{592965FC-626F-4361-B39E-590CDE8F4C7C}">
  <ds:schemaRefs>
    <ds:schemaRef ds:uri="http://schemas.microsoft.com/office/2006/metadata/properties"/>
    <ds:schemaRef ds:uri="http://schemas.microsoft.com/office/infopath/2007/PartnerControls"/>
    <ds:schemaRef ds:uri="5d5361cd-dd21-42bb-ace1-e1b72dd4ac82"/>
    <ds:schemaRef ds:uri="9ff07a45-11f5-479e-a441-cd98a86709fe"/>
  </ds:schemaRefs>
</ds:datastoreItem>
</file>

<file path=customXml/itemProps5.xml><?xml version="1.0" encoding="utf-8"?>
<ds:datastoreItem xmlns:ds="http://schemas.openxmlformats.org/officeDocument/2006/customXml" ds:itemID="{35078774-6B9E-43F3-82FB-D47790F14CB9}">
  <ds:schemaRefs>
    <ds:schemaRef ds:uri="http://schemas.microsoft.com/sharepoint/v3/contenttype/forms"/>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4988</Characters>
  <Application>Microsoft Office Word</Application>
  <DocSecurity>0</DocSecurity>
  <Lines>41</Lines>
  <Paragraphs>11</Paragraphs>
  <ScaleCrop>false</ScaleCrop>
  <Company>Allianz</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3</cp:revision>
  <cp:lastPrinted>2017-11-10T11:33:00Z</cp:lastPrinted>
  <dcterms:created xsi:type="dcterms:W3CDTF">2024-07-01T07:15:00Z</dcterms:created>
  <dcterms:modified xsi:type="dcterms:W3CDTF">2024-07-01T07:15:00Z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0102017114323">
    <vt:lpwstr>20102017114323;E105254;0</vt:lpwstr>
  </property>
  <property fmtid="{D5CDD505-2E9C-101B-9397-08002B2CF9AE}" pid="4" name="OfficeDocumentSecurity_20102017124558">
    <vt:lpwstr>20102017124558;E105254;0</vt:lpwstr>
  </property>
  <property fmtid="{D5CDD505-2E9C-101B-9397-08002B2CF9AE}" pid="5" name="OfficeDocumentSecurity_20102017125625">
    <vt:lpwstr>20102017125625;E105254;0</vt:lpwstr>
  </property>
  <property fmtid="{D5CDD505-2E9C-101B-9397-08002B2CF9AE}" pid="6" name="OfficeDocumentSecurity_20102017130030">
    <vt:lpwstr>20102017130030;E105254;0</vt:lpwstr>
  </property>
  <property fmtid="{D5CDD505-2E9C-101B-9397-08002B2CF9AE}" pid="7" name="OfficeDocumentSecurity_20102017130539">
    <vt:lpwstr>20102017130539;E105254;0</vt:lpwstr>
  </property>
  <property fmtid="{D5CDD505-2E9C-101B-9397-08002B2CF9AE}" pid="8" name="OfficeDocumentSecurity_20102017131007">
    <vt:lpwstr>20102017131007;E105254;0</vt:lpwstr>
  </property>
  <property fmtid="{D5CDD505-2E9C-101B-9397-08002B2CF9AE}" pid="9" name="OfficeDocumentSecurity_20102017132028">
    <vt:lpwstr>20102017132028;E105254;0</vt:lpwstr>
  </property>
  <property fmtid="{D5CDD505-2E9C-101B-9397-08002B2CF9AE}" pid="10" name="OfficeDocumentSecurity_20102017132115">
    <vt:lpwstr>20102017132115;E105254;0</vt:lpwstr>
  </property>
  <property fmtid="{D5CDD505-2E9C-101B-9397-08002B2CF9AE}" pid="11" name="OfficeDocumentSecurity_20102017132611">
    <vt:lpwstr>20102017132611;E105254;0</vt:lpwstr>
  </property>
  <property fmtid="{D5CDD505-2E9C-101B-9397-08002B2CF9AE}" pid="12" name="OfficeDocumentSecurity_20102017132951">
    <vt:lpwstr>20102017132951;E105254;0</vt:lpwstr>
  </property>
  <property fmtid="{D5CDD505-2E9C-101B-9397-08002B2CF9AE}" pid="13" name="OfficeDocumentSecurity_20102017135102">
    <vt:lpwstr>20102017135102;E105254;0</vt:lpwstr>
  </property>
  <property fmtid="{D5CDD505-2E9C-101B-9397-08002B2CF9AE}" pid="14" name="OfficeDocumentSecurity_20102017135826">
    <vt:lpwstr>20102017135826;E105254;0</vt:lpwstr>
  </property>
  <property fmtid="{D5CDD505-2E9C-101B-9397-08002B2CF9AE}" pid="15" name="OfficeDocumentSecurity_20102017140102">
    <vt:lpwstr>20102017140102;E105254;0</vt:lpwstr>
  </property>
  <property fmtid="{D5CDD505-2E9C-101B-9397-08002B2CF9AE}" pid="16" name="OfficeDocumentSecurity_20102017140404">
    <vt:lpwstr>20102017140404;E105254;0</vt:lpwstr>
  </property>
  <property fmtid="{D5CDD505-2E9C-101B-9397-08002B2CF9AE}" pid="17" name="OfficeDocumentSecurity_26102017124538">
    <vt:lpwstr>26102017124538;E105254;0</vt:lpwstr>
  </property>
  <property fmtid="{D5CDD505-2E9C-101B-9397-08002B2CF9AE}" pid="18" name="OfficeDocumentSecurity_26102017125506">
    <vt:lpwstr>26102017125506;E105254;0</vt:lpwstr>
  </property>
  <property fmtid="{D5CDD505-2E9C-101B-9397-08002B2CF9AE}" pid="19" name="OfficeDocumentSecurity_26102017130017">
    <vt:lpwstr>26102017130017;E105254;0</vt:lpwstr>
  </property>
  <property fmtid="{D5CDD505-2E9C-101B-9397-08002B2CF9AE}" pid="20" name="OfficeDocumentSecurity_26102017130339">
    <vt:lpwstr>26102017130339;E105254;0</vt:lpwstr>
  </property>
  <property fmtid="{D5CDD505-2E9C-101B-9397-08002B2CF9AE}" pid="21" name="OfficeDocumentSecurity_26102017131036">
    <vt:lpwstr>26102017131036;E105254;0</vt:lpwstr>
  </property>
  <property fmtid="{D5CDD505-2E9C-101B-9397-08002B2CF9AE}" pid="22" name="OfficeDocumentSecurity_26102017131349">
    <vt:lpwstr>26102017131349;E105254;0</vt:lpwstr>
  </property>
  <property fmtid="{D5CDD505-2E9C-101B-9397-08002B2CF9AE}" pid="23" name="OfficeDocumentSecurity_26102017131730">
    <vt:lpwstr>26102017131730;E105254;0</vt:lpwstr>
  </property>
  <property fmtid="{D5CDD505-2E9C-101B-9397-08002B2CF9AE}" pid="24" name="OfficeDocumentSecurity_26102017132341">
    <vt:lpwstr>26102017132341;E105254;0</vt:lpwstr>
  </property>
  <property fmtid="{D5CDD505-2E9C-101B-9397-08002B2CF9AE}" pid="25" name="OfficeDocumentSecurity_26102017132504">
    <vt:lpwstr>26102017132504;E105254;0</vt:lpwstr>
  </property>
  <property fmtid="{D5CDD505-2E9C-101B-9397-08002B2CF9AE}" pid="26" name="OfficeDocumentSecurity_26102017133806">
    <vt:lpwstr>26102017133806;E105254;0</vt:lpwstr>
  </property>
  <property fmtid="{D5CDD505-2E9C-101B-9397-08002B2CF9AE}" pid="27" name="OfficeDocumentSecurity_26102017135127">
    <vt:lpwstr>26102017135127;E105254;0</vt:lpwstr>
  </property>
  <property fmtid="{D5CDD505-2E9C-101B-9397-08002B2CF9AE}" pid="28" name="OfficeDocumentSecurity_26102017135244">
    <vt:lpwstr>26102017135244;E105254;0</vt:lpwstr>
  </property>
  <property fmtid="{D5CDD505-2E9C-101B-9397-08002B2CF9AE}" pid="29" name="OfficeDocumentSecurity_26102017153255">
    <vt:lpwstr>26102017153255;E105254;0</vt:lpwstr>
  </property>
  <property fmtid="{D5CDD505-2E9C-101B-9397-08002B2CF9AE}" pid="30" name="OfficeDocumentSecurity_26102017153945">
    <vt:lpwstr>26102017153945;E105254;0</vt:lpwstr>
  </property>
  <property fmtid="{D5CDD505-2E9C-101B-9397-08002B2CF9AE}" pid="31" name="OfficeDocumentSecurity_26102017154811">
    <vt:lpwstr>26102017154811;E105254;0</vt:lpwstr>
  </property>
  <property fmtid="{D5CDD505-2E9C-101B-9397-08002B2CF9AE}" pid="32" name="OfficeDocumentSecurity_26102017154951">
    <vt:lpwstr>26102017154951;E105254;0</vt:lpwstr>
  </property>
  <property fmtid="{D5CDD505-2E9C-101B-9397-08002B2CF9AE}" pid="33" name="OfficeDocumentSecurity_26102017155421">
    <vt:lpwstr>26102017155421;E105254;0</vt:lpwstr>
  </property>
  <property fmtid="{D5CDD505-2E9C-101B-9397-08002B2CF9AE}" pid="34" name="OfficeDocumentSecurity_26102017155435">
    <vt:lpwstr>26102017155435;E105254;0</vt:lpwstr>
  </property>
  <property fmtid="{D5CDD505-2E9C-101B-9397-08002B2CF9AE}" pid="35" name="OfficeDocumentSecurity_26102017155730">
    <vt:lpwstr>26102017155730;E105254;0</vt:lpwstr>
  </property>
  <property fmtid="{D5CDD505-2E9C-101B-9397-08002B2CF9AE}" pid="36" name="OfficeDocumentSecurity_26102017155954">
    <vt:lpwstr>26102017155954;E105254;0</vt:lpwstr>
  </property>
  <property fmtid="{D5CDD505-2E9C-101B-9397-08002B2CF9AE}" pid="37" name="OfficeDocumentSecurity_26102017160645">
    <vt:lpwstr>26102017160645;E105254;0</vt:lpwstr>
  </property>
  <property fmtid="{D5CDD505-2E9C-101B-9397-08002B2CF9AE}" pid="38" name="OfficeDocumentSecurity_26102017161104">
    <vt:lpwstr>26102017161104;E105254;0</vt:lpwstr>
  </property>
  <property fmtid="{D5CDD505-2E9C-101B-9397-08002B2CF9AE}" pid="39" name="OfficeDocumentSecurity_26102017162003">
    <vt:lpwstr>26102017162003;E105254;0</vt:lpwstr>
  </property>
  <property fmtid="{D5CDD505-2E9C-101B-9397-08002B2CF9AE}" pid="40" name="OfficeDocumentSecurity_26102017163906">
    <vt:lpwstr>26102017163906;E105254;0</vt:lpwstr>
  </property>
  <property fmtid="{D5CDD505-2E9C-101B-9397-08002B2CF9AE}" pid="41" name="OfficeDocumentSecurity_26102017164756">
    <vt:lpwstr>26102017164756;E105254;0</vt:lpwstr>
  </property>
  <property fmtid="{D5CDD505-2E9C-101B-9397-08002B2CF9AE}" pid="42" name="OfficeDocumentSecurity_26102017165309">
    <vt:lpwstr>26102017165309;E105254;0</vt:lpwstr>
  </property>
  <property fmtid="{D5CDD505-2E9C-101B-9397-08002B2CF9AE}" pid="43" name="OfficeDocumentSecurity_26102017165521">
    <vt:lpwstr>26102017165521;E105254;0</vt:lpwstr>
  </property>
  <property fmtid="{D5CDD505-2E9C-101B-9397-08002B2CF9AE}" pid="44" name="OfficeDocumentSecurity_26102017170849">
    <vt:lpwstr>26102017170849;E105254;0</vt:lpwstr>
  </property>
  <property fmtid="{D5CDD505-2E9C-101B-9397-08002B2CF9AE}" pid="45" name="OfficeDocumentSecurity_26102017171109">
    <vt:lpwstr>26102017171109;E105254;0</vt:lpwstr>
  </property>
  <property fmtid="{D5CDD505-2E9C-101B-9397-08002B2CF9AE}" pid="46" name="OfficeDocumentSecurity_26102017171430">
    <vt:lpwstr>26102017171430;E105254;0</vt:lpwstr>
  </property>
  <property fmtid="{D5CDD505-2E9C-101B-9397-08002B2CF9AE}" pid="47" name="OfficeDocumentSecurity_26102017171451">
    <vt:lpwstr>26102017171451;E105254;0</vt:lpwstr>
  </property>
  <property fmtid="{D5CDD505-2E9C-101B-9397-08002B2CF9AE}" pid="48" name="OfficeDocumentSecurity_26102017171853">
    <vt:lpwstr>26102017171853;E105254;0</vt:lpwstr>
  </property>
  <property fmtid="{D5CDD505-2E9C-101B-9397-08002B2CF9AE}" pid="49" name="OfficeDocumentSecurity_26102017171857">
    <vt:lpwstr>26102017171857;E105254;0</vt:lpwstr>
  </property>
  <property fmtid="{D5CDD505-2E9C-101B-9397-08002B2CF9AE}" pid="50" name="OfficeDocumentSecurity_27102017114529">
    <vt:lpwstr>27102017114529;E105254;0</vt:lpwstr>
  </property>
  <property fmtid="{D5CDD505-2E9C-101B-9397-08002B2CF9AE}" pid="51" name="OfficeDocumentSecurity_31102017122359">
    <vt:lpwstr>31102017122359;e006418;0</vt:lpwstr>
  </property>
  <property fmtid="{D5CDD505-2E9C-101B-9397-08002B2CF9AE}" pid="52" name="OfficeDocumentSecurity_31102017124359">
    <vt:lpwstr>31102017124359;e006418;0</vt:lpwstr>
  </property>
  <property fmtid="{D5CDD505-2E9C-101B-9397-08002B2CF9AE}" pid="53" name="OfficeDocumentSecurity_31102017133122">
    <vt:lpwstr>31102017133122;e006418;0</vt:lpwstr>
  </property>
  <property fmtid="{D5CDD505-2E9C-101B-9397-08002B2CF9AE}" pid="54" name="OfficeDocumentSecurity_31102017133642">
    <vt:lpwstr>31102017133642;e006418;0</vt:lpwstr>
  </property>
  <property fmtid="{D5CDD505-2E9C-101B-9397-08002B2CF9AE}" pid="55" name="OfficeDocumentSecurity_31102017133744">
    <vt:lpwstr>31102017133744;e006418;0</vt:lpwstr>
  </property>
  <property fmtid="{D5CDD505-2E9C-101B-9397-08002B2CF9AE}" pid="56" name="OfficeDocumentSecurity_31102017133845">
    <vt:lpwstr>31102017133845;e006418;0</vt:lpwstr>
  </property>
  <property fmtid="{D5CDD505-2E9C-101B-9397-08002B2CF9AE}" pid="57" name="OfficeDocumentSecurity_31102017133916">
    <vt:lpwstr>31102017133916;e006418;0</vt:lpwstr>
  </property>
  <property fmtid="{D5CDD505-2E9C-101B-9397-08002B2CF9AE}" pid="58" name="OfficeDocumentSecurity_31102017135918">
    <vt:lpwstr>31102017135918;E105254;0</vt:lpwstr>
  </property>
  <property fmtid="{D5CDD505-2E9C-101B-9397-08002B2CF9AE}" pid="59" name="OfficeDocumentSecurity_31102017140040">
    <vt:lpwstr>31102017140040;E105254;0</vt:lpwstr>
  </property>
  <property fmtid="{D5CDD505-2E9C-101B-9397-08002B2CF9AE}" pid="60" name="OfficeDocumentSecurity_31102017140315">
    <vt:lpwstr>31102017140315;E105254;0</vt:lpwstr>
  </property>
  <property fmtid="{D5CDD505-2E9C-101B-9397-08002B2CF9AE}" pid="61" name="OfficeDocumentSecurity_31102017140510">
    <vt:lpwstr>31102017140510;E105254;0</vt:lpwstr>
  </property>
  <property fmtid="{D5CDD505-2E9C-101B-9397-08002B2CF9AE}" pid="62" name="OfficeDocumentSecurity_31102017140537">
    <vt:lpwstr>31102017140537;E105254;0</vt:lpwstr>
  </property>
  <property fmtid="{D5CDD505-2E9C-101B-9397-08002B2CF9AE}" pid="63" name="OfficeDocumentSecurity_31102017160213">
    <vt:lpwstr>31102017160213;E105254;0</vt:lpwstr>
  </property>
  <property fmtid="{D5CDD505-2E9C-101B-9397-08002B2CF9AE}" pid="64" name="OfficeDocumentSecurity_31102017160445">
    <vt:lpwstr>31102017160445;E105254;0</vt:lpwstr>
  </property>
  <property fmtid="{D5CDD505-2E9C-101B-9397-08002B2CF9AE}" pid="65" name="OfficeDocumentSecurity_31102017160946">
    <vt:lpwstr>31102017160946;E105254;0</vt:lpwstr>
  </property>
  <property fmtid="{D5CDD505-2E9C-101B-9397-08002B2CF9AE}" pid="66" name="OfficeDocumentSecurity_31102017161449">
    <vt:lpwstr>31102017161449;E105254;0</vt:lpwstr>
  </property>
  <property fmtid="{D5CDD505-2E9C-101B-9397-08002B2CF9AE}" pid="67" name="OfficeDocumentSecurity_31102017161639">
    <vt:lpwstr>31102017161639;E105254;0</vt:lpwstr>
  </property>
  <property fmtid="{D5CDD505-2E9C-101B-9397-08002B2CF9AE}" pid="68" name="OfficeDocumentSecurity_31102017162044">
    <vt:lpwstr>31102017162044;E105254;0</vt:lpwstr>
  </property>
  <property fmtid="{D5CDD505-2E9C-101B-9397-08002B2CF9AE}" pid="69" name="OfficeDocumentSecurity_31102017162706">
    <vt:lpwstr>31102017162706;E105254;0</vt:lpwstr>
  </property>
  <property fmtid="{D5CDD505-2E9C-101B-9397-08002B2CF9AE}" pid="70" name="OfficeDocumentSecurity_31102017163205">
    <vt:lpwstr>31102017163205;E105254;0</vt:lpwstr>
  </property>
  <property fmtid="{D5CDD505-2E9C-101B-9397-08002B2CF9AE}" pid="71" name="OfficeDocumentSecurity_31102017163256">
    <vt:lpwstr>31102017163256;E105254;0</vt:lpwstr>
  </property>
  <property fmtid="{D5CDD505-2E9C-101B-9397-08002B2CF9AE}" pid="72" name="OfficeDocumentSecurity_31102017164207">
    <vt:lpwstr>31102017164207;E105254;0</vt:lpwstr>
  </property>
  <property fmtid="{D5CDD505-2E9C-101B-9397-08002B2CF9AE}" pid="73" name="OfficeDocumentSecurity_31102017164224">
    <vt:lpwstr>31102017164224;E105254;0</vt:lpwstr>
  </property>
  <property fmtid="{D5CDD505-2E9C-101B-9397-08002B2CF9AE}" pid="74" name="OfficeDocumentSecurity_31102017164622">
    <vt:lpwstr>31102017164622;E105254;0</vt:lpwstr>
  </property>
  <property fmtid="{D5CDD505-2E9C-101B-9397-08002B2CF9AE}" pid="75" name="OfficeDocumentSecurity_02112017110424">
    <vt:lpwstr>02112017110424;E105254;0</vt:lpwstr>
  </property>
  <property fmtid="{D5CDD505-2E9C-101B-9397-08002B2CF9AE}" pid="76" name="OfficeDocumentSecurity_07112017115722">
    <vt:lpwstr>07112017115722;e006418;0</vt:lpwstr>
  </property>
  <property fmtid="{D5CDD505-2E9C-101B-9397-08002B2CF9AE}" pid="77" name="OfficeDocumentSecurity_07112017121821">
    <vt:lpwstr>07112017121821;e006418;0</vt:lpwstr>
  </property>
  <property fmtid="{D5CDD505-2E9C-101B-9397-08002B2CF9AE}" pid="78" name="OfficeDocumentSecurity_07112017135735">
    <vt:lpwstr>07112017135735;e006418;0</vt:lpwstr>
  </property>
  <property fmtid="{D5CDD505-2E9C-101B-9397-08002B2CF9AE}" pid="79" name="OfficeDocumentSecurity_10112017123210">
    <vt:lpwstr>10112017123210;E105254;0</vt:lpwstr>
  </property>
  <property fmtid="{D5CDD505-2E9C-101B-9397-08002B2CF9AE}" pid="80" name="OfficeDocumentSecurity_10112017123333">
    <vt:lpwstr>10112017123333;E105254;0</vt:lpwstr>
  </property>
  <property fmtid="{D5CDD505-2E9C-101B-9397-08002B2CF9AE}" pid="81" name="OfficeDocumentSecurity_10112017124921">
    <vt:lpwstr>10112017124921;E105254;0</vt:lpwstr>
  </property>
  <property fmtid="{D5CDD505-2E9C-101B-9397-08002B2CF9AE}" pid="82" name="OfficeDocumentSecurity_13112017113403">
    <vt:lpwstr>13112017113403;e006418;0</vt:lpwstr>
  </property>
  <property fmtid="{D5CDD505-2E9C-101B-9397-08002B2CF9AE}" pid="83" name="OfficeDocumentSecurity_13112017113512">
    <vt:lpwstr>13112017113512;e006418;0</vt:lpwstr>
  </property>
  <property fmtid="{D5CDD505-2E9C-101B-9397-08002B2CF9AE}" pid="84" name="OfficeDocumentSecurity_14112017120836">
    <vt:lpwstr>14112017120836;E105254;0</vt:lpwstr>
  </property>
  <property fmtid="{D5CDD505-2E9C-101B-9397-08002B2CF9AE}" pid="85" name="OfficeDocumentSecurity_14112017121837">
    <vt:lpwstr>14112017121837;E105254;0</vt:lpwstr>
  </property>
  <property fmtid="{D5CDD505-2E9C-101B-9397-08002B2CF9AE}" pid="86" name="OfficeDocumentSecurity_14112017122900">
    <vt:lpwstr>14112017122900;E105254;0</vt:lpwstr>
  </property>
  <property fmtid="{D5CDD505-2E9C-101B-9397-08002B2CF9AE}" pid="87" name="OfficeDocumentSecurity_14112017123540">
    <vt:lpwstr>14112017123540;E105254;0</vt:lpwstr>
  </property>
  <property fmtid="{D5CDD505-2E9C-101B-9397-08002B2CF9AE}" pid="88" name="OfficeDocumentSecurity_14112017123842">
    <vt:lpwstr>14112017123842;e006418;0</vt:lpwstr>
  </property>
  <property fmtid="{D5CDD505-2E9C-101B-9397-08002B2CF9AE}" pid="89" name="OfficeDocumentSecurity_14112017124100">
    <vt:lpwstr>14112017124100;e006418;0</vt:lpwstr>
  </property>
  <property fmtid="{D5CDD505-2E9C-101B-9397-08002B2CF9AE}" pid="90" name="OfficeDocumentSecurity_20112017121042">
    <vt:lpwstr>20112017121042;E105254;0</vt:lpwstr>
  </property>
  <property fmtid="{D5CDD505-2E9C-101B-9397-08002B2CF9AE}" pid="91" name="OfficeDocumentSecurity_20112017123051">
    <vt:lpwstr>20112017123051;E105254;0</vt:lpwstr>
  </property>
  <property fmtid="{D5CDD505-2E9C-101B-9397-08002B2CF9AE}" pid="92" name="OfficeDocumentSecurity_01122017123928">
    <vt:lpwstr>01122017123928;E105254;0</vt:lpwstr>
  </property>
  <property fmtid="{D5CDD505-2E9C-101B-9397-08002B2CF9AE}" pid="93" name="OfficeDocumentSecurity_01122017123941">
    <vt:lpwstr>01122017123941;E105254;0</vt:lpwstr>
  </property>
  <property fmtid="{D5CDD505-2E9C-101B-9397-08002B2CF9AE}" pid="94" name="OfficeDocumentSecurity_11122017170445">
    <vt:lpwstr>11122017170445;E105254;0</vt:lpwstr>
  </property>
  <property fmtid="{D5CDD505-2E9C-101B-9397-08002B2CF9AE}" pid="95" name="OfficeDocumentSecurity_11122017171113">
    <vt:lpwstr>11122017171113;E105254;0</vt:lpwstr>
  </property>
  <property fmtid="{D5CDD505-2E9C-101B-9397-08002B2CF9AE}" pid="96" name="OfficeDocumentSecurity_11122017183309">
    <vt:lpwstr>11122017183309;E105254;0</vt:lpwstr>
  </property>
  <property fmtid="{D5CDD505-2E9C-101B-9397-08002B2CF9AE}" pid="97" name="OfficeDocumentSecurity_11122017184054">
    <vt:lpwstr>11122017184054;E105254;0</vt:lpwstr>
  </property>
  <property fmtid="{D5CDD505-2E9C-101B-9397-08002B2CF9AE}" pid="98" name="OfficeDocumentSecurity_12122017140838">
    <vt:lpwstr>12122017140838;E105254;0</vt:lpwstr>
  </property>
  <property fmtid="{D5CDD505-2E9C-101B-9397-08002B2CF9AE}" pid="99" name="OfficeDocumentSecurity_12122017140902">
    <vt:lpwstr>12122017140902;E105254;0</vt:lpwstr>
  </property>
  <property fmtid="{D5CDD505-2E9C-101B-9397-08002B2CF9AE}" pid="100" name="OfficeDocumentSecurity_12122017140918">
    <vt:lpwstr>12122017140918;E105254;0</vt:lpwstr>
  </property>
  <property fmtid="{D5CDD505-2E9C-101B-9397-08002B2CF9AE}" pid="101" name="OfficeDocumentSecurity_12122017144526">
    <vt:lpwstr>12122017144526;E105254;0</vt:lpwstr>
  </property>
  <property fmtid="{D5CDD505-2E9C-101B-9397-08002B2CF9AE}" pid="102" name="OfficeDocumentSecurity_19102020112947">
    <vt:lpwstr>19102020112947;e006418;0</vt:lpwstr>
  </property>
  <property fmtid="{D5CDD505-2E9C-101B-9397-08002B2CF9AE}" pid="103" name="OfficeDocumentSecurity_19102020114505">
    <vt:lpwstr>19102020114505;e006418;0</vt:lpwstr>
  </property>
  <property fmtid="{D5CDD505-2E9C-101B-9397-08002B2CF9AE}" pid="104" name="OfficeDocumentSecurity_19102020161616">
    <vt:lpwstr>19102020161616;E105671;0</vt:lpwstr>
  </property>
  <property fmtid="{D5CDD505-2E9C-101B-9397-08002B2CF9AE}" pid="105" name="OfficeDocumentSecurity_19102020162158">
    <vt:lpwstr>19102020162158;E105671;0</vt:lpwstr>
  </property>
  <property fmtid="{D5CDD505-2E9C-101B-9397-08002B2CF9AE}" pid="106" name="OfficeDocumentSecurity_19102020162813">
    <vt:lpwstr>19102020162813;E105671;0</vt:lpwstr>
  </property>
  <property fmtid="{D5CDD505-2E9C-101B-9397-08002B2CF9AE}" pid="107" name="OfficeDocumentSecurity_19102020163234">
    <vt:lpwstr>19102020163234;E105671;0</vt:lpwstr>
  </property>
  <property fmtid="{D5CDD505-2E9C-101B-9397-08002B2CF9AE}" pid="108" name="OfficeDocumentSecurity_19102020163247">
    <vt:lpwstr>19102020163247;E105671;0</vt:lpwstr>
  </property>
  <property fmtid="{D5CDD505-2E9C-101B-9397-08002B2CF9AE}" pid="109" name="OfficeDocumentSecurity_21102020162124">
    <vt:lpwstr>21102020162124;e006418;0</vt:lpwstr>
  </property>
  <property fmtid="{D5CDD505-2E9C-101B-9397-08002B2CF9AE}" pid="110" name="OfficeDocumentSecurity_21102020163125">
    <vt:lpwstr>21102020163125;e006418;0</vt:lpwstr>
  </property>
  <property fmtid="{D5CDD505-2E9C-101B-9397-08002B2CF9AE}" pid="111" name="OfficeDocumentSecurity_21102020163316">
    <vt:lpwstr>21102020163316;e006418;0</vt:lpwstr>
  </property>
  <property fmtid="{D5CDD505-2E9C-101B-9397-08002B2CF9AE}" pid="112" name="OfficeDocumentSecurity_21102020163917">
    <vt:lpwstr>21102020163917;e006418;0</vt:lpwstr>
  </property>
  <property fmtid="{D5CDD505-2E9C-101B-9397-08002B2CF9AE}" pid="113" name="ContentTypeId">
    <vt:lpwstr>0x010100D45E6E72D8714CC7944D4D047D7ED38D00F4A4AB4938F61541A37297F5A676FA57</vt:lpwstr>
  </property>
  <property fmtid="{D5CDD505-2E9C-101B-9397-08002B2CF9AE}" pid="114" name="_dlc_DocIdItemGuid">
    <vt:lpwstr>7371fd99-7b6c-4f62-98b6-a5cfcb8ef454</vt:lpwstr>
  </property>
  <property fmtid="{D5CDD505-2E9C-101B-9397-08002B2CF9AE}" pid="115" name="DossierDepartment">
    <vt:lpwstr/>
  </property>
  <property fmtid="{D5CDD505-2E9C-101B-9397-08002B2CF9AE}" pid="116" name="AllianzContractingParties">
    <vt:lpwstr/>
  </property>
  <property fmtid="{D5CDD505-2E9C-101B-9397-08002B2CF9AE}" pid="117" name="MediaServiceImageTags">
    <vt:lpwstr/>
  </property>
  <property fmtid="{D5CDD505-2E9C-101B-9397-08002B2CF9AE}" pid="118" name="Contract_Type">
    <vt:lpwstr/>
  </property>
  <property fmtid="{D5CDD505-2E9C-101B-9397-08002B2CF9AE}" pid="119" name="b0fe84444e894ab98172082a3d0e58f8">
    <vt:lpwstr/>
  </property>
  <property fmtid="{D5CDD505-2E9C-101B-9397-08002B2CF9AE}" pid="120" name="Document_Class">
    <vt:lpwstr/>
  </property>
  <property fmtid="{D5CDD505-2E9C-101B-9397-08002B2CF9AE}" pid="121" name="iccd162ff52447b49ab8f5fd8f2cec1e">
    <vt:lpwstr/>
  </property>
  <property fmtid="{D5CDD505-2E9C-101B-9397-08002B2CF9AE}" pid="122" name="MSIP_Label_863bc15e-e7bf-41c1-bdb3-03882d8a2e2c_Enabled">
    <vt:lpwstr>true</vt:lpwstr>
  </property>
  <property fmtid="{D5CDD505-2E9C-101B-9397-08002B2CF9AE}" pid="123" name="MSIP_Label_863bc15e-e7bf-41c1-bdb3-03882d8a2e2c_SetDate">
    <vt:lpwstr>2023-06-20T14:34:44Z</vt:lpwstr>
  </property>
  <property fmtid="{D5CDD505-2E9C-101B-9397-08002B2CF9AE}" pid="124" name="MSIP_Label_863bc15e-e7bf-41c1-bdb3-03882d8a2e2c_Method">
    <vt:lpwstr>Privileged</vt:lpwstr>
  </property>
  <property fmtid="{D5CDD505-2E9C-101B-9397-08002B2CF9AE}" pid="125" name="MSIP_Label_863bc15e-e7bf-41c1-bdb3-03882d8a2e2c_Name">
    <vt:lpwstr>863bc15e-e7bf-41c1-bdb3-03882d8a2e2c</vt:lpwstr>
  </property>
  <property fmtid="{D5CDD505-2E9C-101B-9397-08002B2CF9AE}" pid="126" name="MSIP_Label_863bc15e-e7bf-41c1-bdb3-03882d8a2e2c_SiteId">
    <vt:lpwstr>6e06e42d-6925-47c6-b9e7-9581c7ca302a</vt:lpwstr>
  </property>
  <property fmtid="{D5CDD505-2E9C-101B-9397-08002B2CF9AE}" pid="127" name="MSIP_Label_863bc15e-e7bf-41c1-bdb3-03882d8a2e2c_ActionId">
    <vt:lpwstr>a31e03f4-c888-4c9e-ad4e-95b6b0d67c38</vt:lpwstr>
  </property>
  <property fmtid="{D5CDD505-2E9C-101B-9397-08002B2CF9AE}" pid="128" name="MSIP_Label_863bc15e-e7bf-41c1-bdb3-03882d8a2e2c_ContentBits">
    <vt:lpwstr>1</vt:lpwstr>
  </property>
  <property fmtid="{D5CDD505-2E9C-101B-9397-08002B2CF9AE}" pid="129" name="nd762d5e82fb490792aa88eaddbb89ea">
    <vt:lpwstr/>
  </property>
</Properties>
</file>