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6067" w14:textId="2654D252" w:rsidR="001F3AFB" w:rsidRPr="00294B37" w:rsidRDefault="001F3AFB" w:rsidP="00687DD6">
      <w:pPr>
        <w:tabs>
          <w:tab w:val="center" w:pos="4536"/>
          <w:tab w:val="right" w:pos="9072"/>
        </w:tabs>
        <w:jc w:val="right"/>
        <w:rPr>
          <w:rFonts w:ascii="Helv" w:hAnsi="Helv"/>
          <w:noProof/>
          <w:snapToGrid w:val="0"/>
          <w:sz w:val="28"/>
          <w:szCs w:val="20"/>
        </w:rPr>
      </w:pPr>
    </w:p>
    <w:p w14:paraId="1D632357" w14:textId="77777777" w:rsidR="001F3AFB" w:rsidRPr="00294B37" w:rsidRDefault="001F3AFB" w:rsidP="001F3AFB">
      <w:pPr>
        <w:rPr>
          <w:rFonts w:ascii="Helv" w:hAnsi="Helv"/>
          <w:noProof/>
          <w:snapToGrid w:val="0"/>
          <w:sz w:val="28"/>
          <w:szCs w:val="20"/>
        </w:rPr>
      </w:pPr>
      <w:r w:rsidRPr="00294B37">
        <w:rPr>
          <w:rFonts w:ascii="Helv" w:hAnsi="Helv"/>
          <w:noProof/>
          <w:snapToGrid w:val="0"/>
          <w:sz w:val="28"/>
          <w:szCs w:val="20"/>
        </w:rPr>
        <w:t>Allianz Seguros</w:t>
      </w:r>
    </w:p>
    <w:p w14:paraId="7F4F84DD" w14:textId="77777777" w:rsidR="001F3AFB" w:rsidRPr="00294B37" w:rsidRDefault="001F3AFB" w:rsidP="001F3AFB">
      <w:pPr>
        <w:tabs>
          <w:tab w:val="center" w:pos="4536"/>
          <w:tab w:val="right" w:pos="9072"/>
        </w:tabs>
        <w:rPr>
          <w:sz w:val="10"/>
          <w:szCs w:val="10"/>
        </w:rPr>
      </w:pPr>
    </w:p>
    <w:p w14:paraId="28A8FE55" w14:textId="77777777" w:rsidR="001F3AFB" w:rsidRPr="00294B37" w:rsidRDefault="001F3AFB" w:rsidP="001F3AFB">
      <w:pPr>
        <w:tabs>
          <w:tab w:val="center" w:pos="4536"/>
          <w:tab w:val="right" w:pos="9072"/>
        </w:tabs>
        <w:rPr>
          <w:sz w:val="20"/>
          <w:szCs w:val="20"/>
        </w:rPr>
      </w:pPr>
      <w:r w:rsidRPr="00294B37">
        <w:rPr>
          <w:sz w:val="20"/>
          <w:szCs w:val="20"/>
        </w:rPr>
        <w:t>Comunicación Corporativa</w:t>
      </w:r>
    </w:p>
    <w:p w14:paraId="7185D52B" w14:textId="77777777" w:rsidR="001F3AFB" w:rsidRPr="00294B37" w:rsidRDefault="001F3AFB" w:rsidP="001F3AFB">
      <w:pPr>
        <w:tabs>
          <w:tab w:val="center" w:pos="4536"/>
          <w:tab w:val="right" w:pos="9072"/>
        </w:tabs>
        <w:rPr>
          <w:color w:val="7F7F7F"/>
          <w:sz w:val="44"/>
          <w:szCs w:val="44"/>
        </w:rPr>
      </w:pPr>
      <w:r w:rsidRPr="00294B37">
        <w:rPr>
          <w:color w:val="7F7F7F"/>
          <w:sz w:val="44"/>
          <w:szCs w:val="44"/>
        </w:rPr>
        <w:t>Nota de Prensa</w:t>
      </w:r>
    </w:p>
    <w:p w14:paraId="2E88C3B6" w14:textId="77777777" w:rsidR="001F3AFB" w:rsidRDefault="001F3AFB" w:rsidP="001F3AFB">
      <w:pPr>
        <w:ind w:left="540" w:right="283" w:hanging="682"/>
        <w:jc w:val="center"/>
        <w:rPr>
          <w:b/>
          <w:sz w:val="32"/>
          <w:szCs w:val="32"/>
        </w:rPr>
      </w:pPr>
    </w:p>
    <w:p w14:paraId="4809EA88" w14:textId="32F86811" w:rsidR="001F3AFB" w:rsidRDefault="001F3AFB" w:rsidP="001F3AFB">
      <w:pPr>
        <w:ind w:left="540" w:right="567"/>
        <w:jc w:val="center"/>
        <w:rPr>
          <w:rFonts w:ascii="Arial" w:hAnsi="Arial" w:cs="Arial"/>
          <w:b/>
          <w:sz w:val="32"/>
          <w:szCs w:val="32"/>
        </w:rPr>
      </w:pPr>
      <w:r w:rsidRPr="00687DD6">
        <w:rPr>
          <w:rFonts w:ascii="Arial" w:hAnsi="Arial" w:cs="Arial"/>
          <w:b/>
          <w:sz w:val="32"/>
          <w:szCs w:val="32"/>
        </w:rPr>
        <w:t>Allianz Seguros renueva</w:t>
      </w:r>
      <w:r w:rsidR="00395BF6">
        <w:rPr>
          <w:rFonts w:ascii="Arial" w:hAnsi="Arial" w:cs="Arial"/>
          <w:b/>
          <w:sz w:val="32"/>
          <w:szCs w:val="32"/>
        </w:rPr>
        <w:t xml:space="preserve"> </w:t>
      </w:r>
      <w:r w:rsidRPr="00687DD6">
        <w:rPr>
          <w:rFonts w:ascii="Arial" w:hAnsi="Arial" w:cs="Arial"/>
          <w:b/>
          <w:sz w:val="32"/>
          <w:szCs w:val="32"/>
        </w:rPr>
        <w:t>la Carta de la Diversidad</w:t>
      </w:r>
      <w:r w:rsidR="00B22494">
        <w:rPr>
          <w:rFonts w:ascii="Arial" w:hAnsi="Arial" w:cs="Arial"/>
          <w:b/>
          <w:sz w:val="32"/>
          <w:szCs w:val="32"/>
        </w:rPr>
        <w:t xml:space="preserve"> </w:t>
      </w:r>
      <w:r w:rsidR="00395BF6">
        <w:rPr>
          <w:rFonts w:ascii="Arial" w:hAnsi="Arial" w:cs="Arial"/>
          <w:b/>
          <w:sz w:val="32"/>
          <w:szCs w:val="32"/>
        </w:rPr>
        <w:t>para el periodo 2022-2024</w:t>
      </w:r>
    </w:p>
    <w:p w14:paraId="63C05CD7" w14:textId="77777777" w:rsidR="006A2EC6" w:rsidRPr="00687DD6" w:rsidRDefault="006A2EC6" w:rsidP="001F3AFB">
      <w:pPr>
        <w:ind w:left="540" w:right="567"/>
        <w:jc w:val="center"/>
        <w:rPr>
          <w:rFonts w:ascii="Arial" w:hAnsi="Arial" w:cs="Arial"/>
          <w:b/>
          <w:sz w:val="32"/>
          <w:szCs w:val="32"/>
        </w:rPr>
      </w:pPr>
    </w:p>
    <w:p w14:paraId="165AEDBB" w14:textId="522BC20A" w:rsidR="001F3AFB" w:rsidRPr="001F3AFB" w:rsidRDefault="001F3AFB" w:rsidP="001F3AFB">
      <w:pPr>
        <w:numPr>
          <w:ilvl w:val="0"/>
          <w:numId w:val="1"/>
        </w:numPr>
        <w:spacing w:after="0" w:line="360" w:lineRule="auto"/>
        <w:ind w:right="424"/>
        <w:rPr>
          <w:rFonts w:ascii="Arial" w:hAnsi="Arial" w:cs="Arial"/>
          <w:b/>
          <w:sz w:val="24"/>
          <w:szCs w:val="24"/>
        </w:rPr>
      </w:pPr>
      <w:r w:rsidRPr="001F3AFB">
        <w:rPr>
          <w:rFonts w:ascii="Arial" w:hAnsi="Arial" w:cs="Arial"/>
          <w:b/>
          <w:sz w:val="24"/>
          <w:szCs w:val="24"/>
        </w:rPr>
        <w:t>Fundación Diversidad y la Representación de la Comisión Europea en España celebr</w:t>
      </w:r>
      <w:r w:rsidR="00395BF6">
        <w:rPr>
          <w:rFonts w:ascii="Arial" w:hAnsi="Arial" w:cs="Arial"/>
          <w:b/>
          <w:sz w:val="24"/>
          <w:szCs w:val="24"/>
        </w:rPr>
        <w:t>aron</w:t>
      </w:r>
      <w:r w:rsidRPr="001F3AFB">
        <w:rPr>
          <w:rFonts w:ascii="Arial" w:hAnsi="Arial" w:cs="Arial"/>
          <w:b/>
          <w:sz w:val="24"/>
          <w:szCs w:val="24"/>
        </w:rPr>
        <w:t xml:space="preserve"> el acto de firma de la Carta de Diversidad </w:t>
      </w:r>
      <w:r w:rsidR="008C3449">
        <w:rPr>
          <w:rFonts w:ascii="Arial" w:hAnsi="Arial" w:cs="Arial"/>
          <w:b/>
          <w:sz w:val="24"/>
          <w:szCs w:val="24"/>
        </w:rPr>
        <w:t>con</w:t>
      </w:r>
      <w:r w:rsidRPr="001F3AFB">
        <w:rPr>
          <w:rFonts w:ascii="Arial" w:hAnsi="Arial" w:cs="Arial"/>
          <w:b/>
          <w:sz w:val="24"/>
          <w:szCs w:val="24"/>
        </w:rPr>
        <w:t xml:space="preserve"> 35</w:t>
      </w:r>
      <w:r w:rsidR="00395BF6">
        <w:rPr>
          <w:rFonts w:ascii="Arial" w:hAnsi="Arial" w:cs="Arial"/>
          <w:b/>
          <w:sz w:val="24"/>
          <w:szCs w:val="24"/>
        </w:rPr>
        <w:t xml:space="preserve"> representantes</w:t>
      </w:r>
      <w:r w:rsidRPr="001F3AFB">
        <w:rPr>
          <w:rFonts w:ascii="Arial" w:hAnsi="Arial" w:cs="Arial"/>
          <w:b/>
          <w:sz w:val="24"/>
          <w:szCs w:val="24"/>
        </w:rPr>
        <w:t xml:space="preserve"> empresariales</w:t>
      </w:r>
    </w:p>
    <w:p w14:paraId="2B1946A3" w14:textId="10016FF5" w:rsidR="001F3AFB" w:rsidRDefault="006A2EC6" w:rsidP="008E7CFD">
      <w:pPr>
        <w:numPr>
          <w:ilvl w:val="0"/>
          <w:numId w:val="1"/>
        </w:numPr>
        <w:spacing w:after="0" w:line="360" w:lineRule="auto"/>
        <w:ind w:right="424"/>
        <w:rPr>
          <w:rFonts w:ascii="Arial" w:hAnsi="Arial" w:cs="Arial"/>
          <w:b/>
          <w:sz w:val="24"/>
          <w:szCs w:val="24"/>
          <w:lang w:val="es-ES_tradnl"/>
        </w:rPr>
      </w:pPr>
      <w:r>
        <w:rPr>
          <w:rFonts w:ascii="Arial" w:hAnsi="Arial" w:cs="Arial"/>
          <w:b/>
          <w:sz w:val="24"/>
          <w:szCs w:val="24"/>
          <w:lang w:val="es-ES_tradnl"/>
        </w:rPr>
        <w:t>Allianz Seguros renueva su diploma y sello iden</w:t>
      </w:r>
      <w:r w:rsidR="009C0B1E">
        <w:rPr>
          <w:rFonts w:ascii="Arial" w:hAnsi="Arial" w:cs="Arial"/>
          <w:b/>
          <w:sz w:val="24"/>
          <w:szCs w:val="24"/>
          <w:lang w:val="es-ES_tradnl"/>
        </w:rPr>
        <w:t>ti</w:t>
      </w:r>
      <w:r>
        <w:rPr>
          <w:rFonts w:ascii="Arial" w:hAnsi="Arial" w:cs="Arial"/>
          <w:b/>
          <w:sz w:val="24"/>
          <w:szCs w:val="24"/>
          <w:lang w:val="es-ES_tradnl"/>
        </w:rPr>
        <w:t>ficativo</w:t>
      </w:r>
      <w:r w:rsidR="00395BF6">
        <w:rPr>
          <w:rFonts w:ascii="Arial" w:hAnsi="Arial" w:cs="Arial"/>
          <w:b/>
          <w:sz w:val="24"/>
          <w:szCs w:val="24"/>
          <w:lang w:val="es-ES_tradnl"/>
        </w:rPr>
        <w:t>, obtenido en 2011</w:t>
      </w:r>
    </w:p>
    <w:p w14:paraId="7B896CC6" w14:textId="2C37C830" w:rsidR="00805559" w:rsidRPr="00687DD6" w:rsidRDefault="00805559" w:rsidP="008E7CFD">
      <w:pPr>
        <w:numPr>
          <w:ilvl w:val="0"/>
          <w:numId w:val="1"/>
        </w:numPr>
        <w:spacing w:after="0" w:line="360" w:lineRule="auto"/>
        <w:ind w:right="424"/>
        <w:rPr>
          <w:rFonts w:ascii="Arial" w:hAnsi="Arial" w:cs="Arial"/>
          <w:b/>
          <w:sz w:val="24"/>
          <w:szCs w:val="24"/>
          <w:lang w:val="es-ES_tradnl"/>
        </w:rPr>
      </w:pPr>
      <w:r w:rsidRPr="00805559">
        <w:rPr>
          <w:rFonts w:ascii="Arial" w:hAnsi="Arial" w:cs="Arial"/>
          <w:b/>
          <w:sz w:val="24"/>
          <w:szCs w:val="24"/>
          <w:lang w:val="es-ES_tradnl"/>
        </w:rPr>
        <w:t>Desde 2018, Allianz cuenta con la figura del Sponsor de la Igualdad y la Diversidad</w:t>
      </w:r>
      <w:bookmarkStart w:id="0" w:name="_GoBack"/>
      <w:bookmarkEnd w:id="0"/>
    </w:p>
    <w:p w14:paraId="03B7B369" w14:textId="77777777" w:rsidR="001F3AFB" w:rsidRPr="00687DD6" w:rsidRDefault="001F3AFB" w:rsidP="001F3AFB">
      <w:pPr>
        <w:spacing w:line="360" w:lineRule="auto"/>
        <w:ind w:left="540" w:right="941"/>
        <w:rPr>
          <w:rFonts w:ascii="Arial" w:hAnsi="Arial" w:cs="Arial"/>
          <w:b/>
          <w:sz w:val="24"/>
          <w:szCs w:val="24"/>
          <w:lang w:val="es-ES_tradnl"/>
        </w:rPr>
      </w:pPr>
    </w:p>
    <w:p w14:paraId="3B4DFE2D" w14:textId="1CEC482D" w:rsidR="001F3AFB" w:rsidRPr="00395BF6" w:rsidRDefault="001F3AFB" w:rsidP="001F3AFB">
      <w:pPr>
        <w:jc w:val="both"/>
        <w:rPr>
          <w:rFonts w:ascii="Arial" w:eastAsia="Arial" w:hAnsi="Arial" w:cs="Arial"/>
        </w:rPr>
      </w:pPr>
      <w:r w:rsidRPr="00687DD6">
        <w:rPr>
          <w:rFonts w:ascii="Arial" w:eastAsia="Arial" w:hAnsi="Arial" w:cs="Arial"/>
          <w:b/>
        </w:rPr>
        <w:t>Madrid, 19 de mayo de 2022</w:t>
      </w:r>
      <w:r w:rsidRPr="00687DD6">
        <w:rPr>
          <w:rFonts w:ascii="Arial" w:eastAsia="Arial" w:hAnsi="Arial" w:cs="Arial"/>
        </w:rPr>
        <w:t xml:space="preserve"> – </w:t>
      </w:r>
      <w:r w:rsidRPr="00395BF6">
        <w:rPr>
          <w:rFonts w:ascii="Arial" w:eastAsia="Arial" w:hAnsi="Arial" w:cs="Arial"/>
        </w:rPr>
        <w:t xml:space="preserve">Allianz Seguros </w:t>
      </w:r>
      <w:r w:rsidR="000609E7" w:rsidRPr="00395BF6">
        <w:rPr>
          <w:rFonts w:ascii="Arial" w:eastAsia="Arial" w:hAnsi="Arial" w:cs="Arial"/>
        </w:rPr>
        <w:t>participó ayer</w:t>
      </w:r>
      <w:r w:rsidRPr="00395BF6">
        <w:rPr>
          <w:rFonts w:ascii="Arial" w:eastAsia="Arial" w:hAnsi="Arial" w:cs="Arial"/>
        </w:rPr>
        <w:t xml:space="preserve"> en el acto de firma de la Carta de la Diversidad del 2022. El e</w:t>
      </w:r>
      <w:r w:rsidR="000609E7" w:rsidRPr="00395BF6">
        <w:rPr>
          <w:rFonts w:ascii="Arial" w:eastAsia="Arial" w:hAnsi="Arial" w:cs="Arial"/>
        </w:rPr>
        <w:t xml:space="preserve">vento se realizó </w:t>
      </w:r>
      <w:r w:rsidR="00131371" w:rsidRPr="00395BF6">
        <w:rPr>
          <w:rFonts w:ascii="Arial" w:eastAsia="Arial" w:hAnsi="Arial" w:cs="Arial"/>
        </w:rPr>
        <w:t>con la participación de los representantes de</w:t>
      </w:r>
      <w:r w:rsidR="000609E7" w:rsidRPr="00395BF6">
        <w:rPr>
          <w:rFonts w:ascii="Arial" w:eastAsia="Arial" w:hAnsi="Arial" w:cs="Arial"/>
        </w:rPr>
        <w:t xml:space="preserve"> 35</w:t>
      </w:r>
      <w:r w:rsidRPr="00395BF6">
        <w:rPr>
          <w:rFonts w:ascii="Arial" w:eastAsia="Arial" w:hAnsi="Arial" w:cs="Arial"/>
        </w:rPr>
        <w:t xml:space="preserve"> </w:t>
      </w:r>
      <w:r w:rsidR="00131371" w:rsidRPr="00395BF6">
        <w:rPr>
          <w:rFonts w:ascii="Arial" w:eastAsia="Arial" w:hAnsi="Arial" w:cs="Arial"/>
        </w:rPr>
        <w:t>empresas</w:t>
      </w:r>
      <w:r w:rsidRPr="00395BF6">
        <w:rPr>
          <w:rFonts w:ascii="Arial" w:eastAsia="Arial" w:hAnsi="Arial" w:cs="Arial"/>
        </w:rPr>
        <w:t xml:space="preserve"> comprometid</w:t>
      </w:r>
      <w:r w:rsidR="00131371" w:rsidRPr="00395BF6">
        <w:rPr>
          <w:rFonts w:ascii="Arial" w:eastAsia="Arial" w:hAnsi="Arial" w:cs="Arial"/>
        </w:rPr>
        <w:t>a</w:t>
      </w:r>
      <w:r w:rsidRPr="00395BF6">
        <w:rPr>
          <w:rFonts w:ascii="Arial" w:eastAsia="Arial" w:hAnsi="Arial" w:cs="Arial"/>
        </w:rPr>
        <w:t>s con la diversidad y la inclusión social, que han registrado su adhesión o renovación a la Carta para el periodo 2022-2024.</w:t>
      </w:r>
    </w:p>
    <w:p w14:paraId="3A1CEA67" w14:textId="77777777" w:rsidR="001F3AFB" w:rsidRPr="00395BF6" w:rsidRDefault="001F3AFB" w:rsidP="001F3AFB">
      <w:pPr>
        <w:jc w:val="both"/>
        <w:rPr>
          <w:rFonts w:ascii="Arial" w:eastAsia="Arial" w:hAnsi="Arial" w:cs="Arial"/>
        </w:rPr>
      </w:pPr>
      <w:r w:rsidRPr="00395BF6">
        <w:rPr>
          <w:rFonts w:ascii="Arial" w:eastAsia="Arial" w:hAnsi="Arial" w:cs="Arial"/>
        </w:rPr>
        <w:t xml:space="preserve">La Carta de la Diversidad es una carta de principios y valores europeos que firman con carácter voluntario y gratuito las empresas y organizaciones de España para visibilizar su compromiso con la diversidad y la inclusión en el ámbito laboral. En España, </w:t>
      </w:r>
      <w:hyperlink r:id="rId11">
        <w:r w:rsidRPr="00395BF6">
          <w:rPr>
            <w:rFonts w:ascii="Arial" w:eastAsia="Arial" w:hAnsi="Arial" w:cs="Arial"/>
            <w:color w:val="0563C1"/>
            <w:u w:val="single"/>
          </w:rPr>
          <w:t>Fundación Diversidad</w:t>
        </w:r>
      </w:hyperlink>
      <w:r w:rsidRPr="00395BF6">
        <w:rPr>
          <w:rFonts w:ascii="Arial" w:eastAsia="Arial" w:hAnsi="Arial" w:cs="Arial"/>
        </w:rPr>
        <w:t xml:space="preserve"> es la organización que tiene el mandato exclusivo de la promoción de la Carta.</w:t>
      </w:r>
    </w:p>
    <w:p w14:paraId="458BCF36" w14:textId="3F6A7800" w:rsidR="00131371" w:rsidRPr="00395BF6" w:rsidRDefault="00131371" w:rsidP="00131371">
      <w:pPr>
        <w:tabs>
          <w:tab w:val="left" w:pos="7797"/>
        </w:tabs>
        <w:spacing w:line="276" w:lineRule="auto"/>
        <w:jc w:val="both"/>
        <w:rPr>
          <w:rFonts w:ascii="Arial" w:hAnsi="Arial" w:cs="Arial"/>
          <w:lang w:val="es-ES_tradnl"/>
        </w:rPr>
      </w:pPr>
      <w:r w:rsidRPr="00395BF6">
        <w:rPr>
          <w:rFonts w:ascii="Arial" w:hAnsi="Arial" w:cs="Arial"/>
          <w:lang w:val="es-ES_tradnl"/>
        </w:rPr>
        <w:t>Allianz tiene en la diversidad un elemento clave en la gestión de sus equipos y trabaja de manera constante para promover un entorno de trabajo diverso e inclusivo. En esta línea, promueve diversas iniciativas para fomentar la inclusión de aquellos colectivos que se enfrentan a mayores dificultades de acceso e integración.</w:t>
      </w:r>
    </w:p>
    <w:p w14:paraId="5182C964" w14:textId="5F701C06" w:rsidR="00131371" w:rsidRPr="00395BF6" w:rsidRDefault="00131371" w:rsidP="00131371">
      <w:pPr>
        <w:spacing w:line="276" w:lineRule="auto"/>
        <w:jc w:val="both"/>
        <w:rPr>
          <w:rFonts w:ascii="Arial" w:hAnsi="Arial" w:cs="Arial"/>
        </w:rPr>
      </w:pPr>
      <w:r w:rsidRPr="00395BF6">
        <w:rPr>
          <w:rFonts w:ascii="Arial" w:hAnsi="Arial" w:cs="Arial"/>
          <w:lang w:val="es-ES_tradnl"/>
        </w:rPr>
        <w:t>Desde 2018, Allianz cuenta con la figura del Sponsor de la Igualdad y la Diversidad, un rol configurado en la Comisión de Igualdad en la que intervienen representantes de los trabajadores y de la compañía y cuya misión es velar por que las actuaciones, planes y estrategias de la compañía tengan en cuenta los principios de diversidad e igualdad de oportunidades que marca el II Plan de Igualdad de Allianz</w:t>
      </w:r>
      <w:r w:rsidRPr="00395BF6">
        <w:rPr>
          <w:rFonts w:ascii="Arial" w:hAnsi="Arial" w:cs="Arial"/>
        </w:rPr>
        <w:t>.</w:t>
      </w:r>
      <w:r w:rsidRPr="00395BF6">
        <w:rPr>
          <w:rFonts w:ascii="Arial" w:hAnsi="Arial" w:cs="Arial"/>
          <w:i/>
          <w:iCs/>
        </w:rPr>
        <w:t> </w:t>
      </w:r>
      <w:r w:rsidRPr="00395BF6">
        <w:rPr>
          <w:rFonts w:ascii="Arial" w:hAnsi="Arial" w:cs="Arial"/>
        </w:rPr>
        <w:t xml:space="preserve"> Allianz Seguros pertenece, además, a la Red de INESE</w:t>
      </w:r>
      <w:r w:rsidRPr="00395BF6">
        <w:rPr>
          <w:rFonts w:ascii="Arial" w:hAnsi="Arial" w:cs="Arial"/>
          <w:i/>
          <w:iCs/>
        </w:rPr>
        <w:t xml:space="preserve"> Empower Women in Insurance </w:t>
      </w:r>
      <w:r w:rsidRPr="00395BF6">
        <w:rPr>
          <w:rFonts w:ascii="Arial" w:hAnsi="Arial" w:cs="Arial"/>
        </w:rPr>
        <w:t xml:space="preserve">(EWI), que fomenta la </w:t>
      </w:r>
      <w:r w:rsidRPr="00395BF6">
        <w:rPr>
          <w:rFonts w:ascii="Arial" w:hAnsi="Arial" w:cs="Arial"/>
        </w:rPr>
        <w:lastRenderedPageBreak/>
        <w:t>promoción del talento femenino en el sector seguros, y la Red Empresarial por la Diversidad e Inclusión LGTBI (REDI). Además, cuenta con sus propias comunidades internas de fomento de la igualdad de oportunidades, con la red NEO (Network Equal Opportunity), y de apoyo al colectivo LGTBI, con Pride Network. </w:t>
      </w:r>
    </w:p>
    <w:p w14:paraId="1B1CF164" w14:textId="07D42809" w:rsidR="00131371" w:rsidRPr="00395BF6" w:rsidRDefault="00131371" w:rsidP="00131371">
      <w:pPr>
        <w:shd w:val="clear" w:color="auto" w:fill="FFFFFF"/>
        <w:spacing w:line="276" w:lineRule="auto"/>
        <w:jc w:val="both"/>
        <w:rPr>
          <w:rFonts w:ascii="Arial" w:hAnsi="Arial" w:cs="Arial"/>
          <w:lang w:val="es-ES_tradnl"/>
        </w:rPr>
      </w:pPr>
      <w:r w:rsidRPr="00395BF6">
        <w:rPr>
          <w:rFonts w:ascii="Arial" w:hAnsi="Arial" w:cs="Arial"/>
          <w:lang w:val="es-ES_tradnl"/>
        </w:rPr>
        <w:t>La compañía ha obtenido varios reconocimientos en materia de igualdad en los últimos años. Cuenta con el distintivo Igualdad en la Empresa, otorgado por el Ministerio de Igualdad a las empresas que destacan por sus políticas de igualdad. Además, la apuesta por materializar un ambiente inclusivo en el Grupo Allianz se plasma en hitos como la presencia de la marca en el Índice de Igualdad de Género (GEI) de Bloomberg. Además, Allianz ostenta el segundo puesto en el índice DAX 30 LGBT+ Diversity Index.y la posición 7 en el ra</w:t>
      </w:r>
      <w:r w:rsidR="009C0B1E">
        <w:rPr>
          <w:rFonts w:ascii="Arial" w:hAnsi="Arial" w:cs="Arial"/>
          <w:lang w:val="es-ES_tradnl"/>
        </w:rPr>
        <w:t>n</w:t>
      </w:r>
      <w:r w:rsidRPr="00395BF6">
        <w:rPr>
          <w:rFonts w:ascii="Arial" w:hAnsi="Arial" w:cs="Arial"/>
          <w:lang w:val="es-ES_tradnl"/>
        </w:rPr>
        <w:t>king Top 100 del  Diversity &amp; Inclusion Index de Refinitiv .</w:t>
      </w:r>
    </w:p>
    <w:p w14:paraId="22FFBDF4" w14:textId="5EA10FCC" w:rsidR="001F3AFB" w:rsidRPr="00687DD6" w:rsidRDefault="001F3AFB" w:rsidP="00687DD6">
      <w:pPr>
        <w:shd w:val="clear" w:color="auto" w:fill="FFFFFF"/>
        <w:spacing w:after="0" w:line="240" w:lineRule="auto"/>
        <w:jc w:val="both"/>
        <w:rPr>
          <w:rFonts w:ascii="Arial" w:eastAsia="Arial" w:hAnsi="Arial" w:cs="Arial"/>
        </w:rPr>
      </w:pPr>
    </w:p>
    <w:p w14:paraId="2A3DB690" w14:textId="77777777" w:rsidR="001F3AFB" w:rsidRPr="00687DD6" w:rsidRDefault="001F3AFB" w:rsidP="003C1DFE">
      <w:pPr>
        <w:spacing w:after="200" w:line="276" w:lineRule="auto"/>
        <w:ind w:right="-1"/>
        <w:jc w:val="both"/>
        <w:rPr>
          <w:rFonts w:ascii="Arial" w:hAnsi="Arial" w:cs="Arial"/>
          <w:b/>
        </w:rPr>
      </w:pPr>
      <w:r w:rsidRPr="00687DD6">
        <w:rPr>
          <w:rFonts w:ascii="Arial" w:hAnsi="Arial" w:cs="Arial"/>
          <w:b/>
        </w:rPr>
        <w:t>Sobre Allianz Seguros</w:t>
      </w:r>
    </w:p>
    <w:p w14:paraId="1C918C3B" w14:textId="77777777" w:rsidR="001F3AFB" w:rsidRPr="00687DD6" w:rsidRDefault="001F3AFB" w:rsidP="003C1DFE">
      <w:pPr>
        <w:spacing w:line="276" w:lineRule="auto"/>
        <w:ind w:right="-1"/>
        <w:jc w:val="both"/>
        <w:rPr>
          <w:rFonts w:ascii="Arial" w:hAnsi="Arial" w:cs="Arial"/>
        </w:rPr>
      </w:pPr>
      <w:r w:rsidRPr="00687DD6">
        <w:rPr>
          <w:rFonts w:ascii="Arial" w:hAnsi="Arial" w:cs="Arial"/>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7AF3CC62" w14:textId="1B4F0353" w:rsidR="001F3AFB" w:rsidRDefault="001F3AFB" w:rsidP="009C0B1E">
      <w:pPr>
        <w:spacing w:line="276" w:lineRule="auto"/>
        <w:ind w:right="-1"/>
        <w:jc w:val="both"/>
        <w:rPr>
          <w:rFonts w:ascii="Arial" w:hAnsi="Arial" w:cs="Arial"/>
        </w:rPr>
      </w:pPr>
      <w:r w:rsidRPr="00687DD6">
        <w:rPr>
          <w:rFonts w:ascii="Arial" w:hAnsi="Arial" w:cs="Arial"/>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r w:rsidR="009C0B1E">
        <w:rPr>
          <w:rFonts w:ascii="Arial" w:hAnsi="Arial" w:cs="Arial"/>
        </w:rPr>
        <w:t>.</w:t>
      </w:r>
    </w:p>
    <w:p w14:paraId="413F34DC" w14:textId="77777777" w:rsidR="009C0B1E" w:rsidRPr="00687DD6" w:rsidRDefault="009C0B1E" w:rsidP="003C1DFE">
      <w:pPr>
        <w:spacing w:line="276" w:lineRule="auto"/>
        <w:ind w:right="-1"/>
        <w:jc w:val="both"/>
        <w:rPr>
          <w:rFonts w:ascii="Arial" w:hAnsi="Arial" w:cs="Arial"/>
        </w:rPr>
      </w:pPr>
    </w:p>
    <w:p w14:paraId="40804E24" w14:textId="4FFB8DF3" w:rsidR="001F3AFB" w:rsidRPr="00687DD6" w:rsidRDefault="001F3AFB" w:rsidP="003C1DFE">
      <w:pPr>
        <w:spacing w:line="276" w:lineRule="auto"/>
        <w:ind w:right="-1"/>
        <w:jc w:val="both"/>
        <w:rPr>
          <w:rFonts w:ascii="Arial" w:hAnsi="Arial" w:cs="Arial"/>
          <w:b/>
        </w:rPr>
      </w:pPr>
      <w:r w:rsidRPr="00687DD6">
        <w:rPr>
          <w:rFonts w:ascii="Arial" w:hAnsi="Arial" w:cs="Arial"/>
          <w:b/>
        </w:rPr>
        <w:t>Sobre Fundación Diversidad</w:t>
      </w:r>
    </w:p>
    <w:p w14:paraId="15428868" w14:textId="77777777" w:rsidR="001F3AFB" w:rsidRPr="00687DD6" w:rsidRDefault="001F3AFB" w:rsidP="003C1DFE">
      <w:pPr>
        <w:spacing w:line="276" w:lineRule="auto"/>
        <w:ind w:right="-1"/>
        <w:jc w:val="both"/>
        <w:rPr>
          <w:rFonts w:ascii="Arial" w:hAnsi="Arial" w:cs="Arial"/>
        </w:rPr>
      </w:pPr>
      <w:r w:rsidRPr="00687DD6">
        <w:rPr>
          <w:rFonts w:ascii="Arial" w:hAnsi="Arial" w:cs="Arial"/>
        </w:rPr>
        <w:t>Fundación Diversidad, promovida por Alares, tiene como objetivo promover y lograr que los 10 principios de la Carta de la Diversidad se implanten en las empresas e instituciones en España. La organización trabaja para impulsar la diversidad y la inclusión en empresas e instituciones en España para potenciar el progreso social y la competitividad económica a través de la sensibilización, investigación y divulgación. Los socios de Fundación Diversidad son: Admiral Seguros, Allianz, AXA, Bankinter, BASF, BBi Communication, BD, Boehringer Ingelheim, British Council, CaixaBank, Clarios, Correos, Iberdrola, JTI, Leroy Merlin, Lilly, Nationale-Nederlanden, Orange, Penguin Random House, Provital Group, Richemont y Sacyr.</w:t>
      </w:r>
    </w:p>
    <w:p w14:paraId="75F4C090" w14:textId="77777777" w:rsidR="001F3AFB" w:rsidRPr="00687DD6" w:rsidRDefault="001F3AFB" w:rsidP="00687DD6">
      <w:pPr>
        <w:spacing w:line="276" w:lineRule="auto"/>
        <w:ind w:right="282"/>
        <w:jc w:val="both"/>
        <w:rPr>
          <w:rFonts w:ascii="Arial" w:hAnsi="Arial" w:cs="Arial"/>
          <w:lang w:val="es-ES_tradnl"/>
        </w:rPr>
      </w:pPr>
    </w:p>
    <w:p w14:paraId="498C42FB" w14:textId="01B1B35F" w:rsidR="001F3AFB" w:rsidRPr="00687DD6" w:rsidRDefault="001F3AFB" w:rsidP="001F3AFB">
      <w:pPr>
        <w:pBdr>
          <w:bottom w:val="single" w:sz="6" w:space="1" w:color="auto"/>
        </w:pBdr>
        <w:tabs>
          <w:tab w:val="left" w:pos="567"/>
        </w:tabs>
        <w:spacing w:line="276" w:lineRule="auto"/>
        <w:ind w:right="1418"/>
        <w:jc w:val="both"/>
        <w:rPr>
          <w:rFonts w:ascii="Arial" w:hAnsi="Arial" w:cs="Arial"/>
          <w:b/>
          <w:lang w:val="es-ES_tradnl"/>
        </w:rPr>
      </w:pPr>
      <w:r w:rsidRPr="00687DD6">
        <w:rPr>
          <w:rFonts w:ascii="Arial" w:hAnsi="Arial" w:cs="Arial"/>
          <w:lang w:val="es-ES_tradnl"/>
        </w:rPr>
        <w:t>Más información para prensa:</w:t>
      </w:r>
    </w:p>
    <w:p w14:paraId="24F27BF7" w14:textId="2081B739" w:rsidR="001F3AFB" w:rsidRPr="00687DD6" w:rsidRDefault="000609E7" w:rsidP="001F3AFB">
      <w:pPr>
        <w:keepNext/>
        <w:pBdr>
          <w:bottom w:val="single" w:sz="6" w:space="1" w:color="auto"/>
        </w:pBdr>
        <w:spacing w:line="276" w:lineRule="auto"/>
        <w:ind w:right="1418"/>
        <w:jc w:val="both"/>
        <w:outlineLvl w:val="3"/>
        <w:rPr>
          <w:rFonts w:ascii="Arial" w:hAnsi="Arial" w:cs="Arial"/>
          <w:lang w:val="es-ES_tradnl"/>
        </w:rPr>
      </w:pPr>
      <w:r w:rsidRPr="000609E7">
        <w:rPr>
          <w:rFonts w:ascii="Arial" w:hAnsi="Arial" w:cs="Arial"/>
          <w:lang w:val="es-ES_tradnl"/>
        </w:rPr>
        <w:lastRenderedPageBreak/>
        <w:t>Sonia Rodríguez</w:t>
      </w:r>
      <w:r w:rsidRPr="000609E7">
        <w:rPr>
          <w:rFonts w:ascii="Arial" w:hAnsi="Arial" w:cs="Arial"/>
          <w:lang w:val="es-ES_tradnl"/>
        </w:rPr>
        <w:tab/>
      </w:r>
      <w:r w:rsidR="001F3AFB" w:rsidRPr="00687DD6">
        <w:rPr>
          <w:rFonts w:ascii="Arial" w:hAnsi="Arial" w:cs="Arial"/>
          <w:lang w:val="es-ES_tradnl"/>
        </w:rPr>
        <w:t>Tel. 91.596.00.66</w:t>
      </w:r>
    </w:p>
    <w:p w14:paraId="058A71F9" w14:textId="77777777" w:rsidR="001F3AFB" w:rsidRPr="00687DD6" w:rsidRDefault="001F3AFB" w:rsidP="001F3AFB">
      <w:pPr>
        <w:keepNext/>
        <w:pBdr>
          <w:bottom w:val="single" w:sz="6" w:space="1" w:color="auto"/>
        </w:pBdr>
        <w:spacing w:line="276" w:lineRule="auto"/>
        <w:ind w:right="1418"/>
        <w:jc w:val="both"/>
        <w:outlineLvl w:val="3"/>
        <w:rPr>
          <w:rFonts w:ascii="Arial" w:hAnsi="Arial" w:cs="Arial"/>
          <w:lang w:val="es-ES_tradnl"/>
        </w:rPr>
      </w:pPr>
      <w:r w:rsidRPr="00687DD6">
        <w:rPr>
          <w:rFonts w:ascii="Arial" w:hAnsi="Arial" w:cs="Arial"/>
          <w:lang w:val="es-ES_tradnl"/>
        </w:rPr>
        <w:t xml:space="preserve">Laura Gallach </w:t>
      </w:r>
      <w:r w:rsidRPr="00687DD6">
        <w:rPr>
          <w:rFonts w:ascii="Arial" w:hAnsi="Arial" w:cs="Arial"/>
          <w:lang w:val="es-ES_tradnl"/>
        </w:rPr>
        <w:tab/>
      </w:r>
      <w:r w:rsidRPr="00687DD6">
        <w:rPr>
          <w:rFonts w:ascii="Arial" w:hAnsi="Arial" w:cs="Arial"/>
          <w:lang w:val="es-ES_tradnl"/>
        </w:rPr>
        <w:tab/>
        <w:t>Tel. 93.228.67.83</w:t>
      </w:r>
    </w:p>
    <w:p w14:paraId="48ADDE52" w14:textId="77777777" w:rsidR="001F3AFB" w:rsidRPr="00687DD6" w:rsidRDefault="001F3AFB" w:rsidP="001F3AFB">
      <w:pPr>
        <w:rPr>
          <w:rFonts w:ascii="Arial" w:hAnsi="Arial" w:cs="Arial"/>
          <w:lang w:val="es-ES_tradnl"/>
        </w:rPr>
      </w:pPr>
    </w:p>
    <w:p w14:paraId="5136D278" w14:textId="77777777" w:rsidR="001F3AFB" w:rsidRPr="00687DD6" w:rsidRDefault="001F3AFB" w:rsidP="001F3AFB">
      <w:pPr>
        <w:ind w:right="141"/>
        <w:rPr>
          <w:rFonts w:ascii="Arial" w:hAnsi="Arial" w:cs="Arial"/>
          <w:b/>
          <w:i/>
          <w:iCs/>
          <w:sz w:val="18"/>
          <w:szCs w:val="24"/>
          <w:lang w:val="es-ES_tradnl" w:eastAsia="en-US"/>
        </w:rPr>
      </w:pPr>
    </w:p>
    <w:p w14:paraId="3F3527E6" w14:textId="77777777" w:rsidR="001F3AFB" w:rsidRPr="00687DD6" w:rsidRDefault="001F3AFB" w:rsidP="001F3AFB">
      <w:pPr>
        <w:ind w:right="141"/>
        <w:jc w:val="both"/>
        <w:rPr>
          <w:rFonts w:ascii="Arial" w:hAnsi="Arial" w:cs="Arial"/>
          <w:b/>
          <w:iCs/>
          <w:color w:val="000000"/>
          <w:sz w:val="18"/>
          <w:szCs w:val="24"/>
          <w:lang w:val="es-ES_tradnl" w:eastAsia="en-US"/>
        </w:rPr>
      </w:pPr>
      <w:r w:rsidRPr="00687DD6">
        <w:rPr>
          <w:rFonts w:ascii="Arial" w:hAnsi="Arial" w:cs="Arial"/>
          <w:b/>
          <w:sz w:val="18"/>
          <w:lang w:val="es-ES_tradnl"/>
        </w:rPr>
        <w:t xml:space="preserve">Estas aseveraciones quedan, como siempre, sujetas a la siguiente </w:t>
      </w:r>
      <w:hyperlink r:id="rId12" w:history="1">
        <w:r w:rsidRPr="00687DD6">
          <w:rPr>
            <w:rFonts w:ascii="Arial" w:hAnsi="Arial" w:cs="Arial"/>
            <w:b/>
            <w:color w:val="0000FF"/>
            <w:sz w:val="18"/>
            <w:u w:val="single"/>
            <w:lang w:val="es-ES_tradnl"/>
          </w:rPr>
          <w:t>nota preventiva</w:t>
        </w:r>
      </w:hyperlink>
      <w:r w:rsidRPr="00687DD6">
        <w:rPr>
          <w:rFonts w:ascii="Arial" w:hAnsi="Arial" w:cs="Arial"/>
          <w:b/>
          <w:sz w:val="18"/>
          <w:lang w:val="es-ES_tradnl"/>
        </w:rPr>
        <w:t>.</w:t>
      </w:r>
    </w:p>
    <w:p w14:paraId="75488861" w14:textId="77777777" w:rsidR="001F3AFB" w:rsidRPr="00687DD6" w:rsidRDefault="001F3AFB" w:rsidP="001F3AFB">
      <w:pPr>
        <w:rPr>
          <w:rFonts w:ascii="Arial" w:hAnsi="Arial" w:cs="Arial"/>
          <w:lang w:val="es-ES_tradnl"/>
        </w:rPr>
      </w:pPr>
    </w:p>
    <w:p w14:paraId="7AA4EBAB" w14:textId="77777777" w:rsidR="001F3AFB" w:rsidRPr="00687DD6" w:rsidRDefault="001F3AFB" w:rsidP="001F3AFB">
      <w:pPr>
        <w:ind w:right="425"/>
        <w:jc w:val="both"/>
        <w:rPr>
          <w:rFonts w:ascii="Arial" w:hAnsi="Arial" w:cs="Arial"/>
          <w:lang w:val="es-ES_tradnl"/>
        </w:rPr>
      </w:pPr>
    </w:p>
    <w:p w14:paraId="2AB0E29D" w14:textId="77777777" w:rsidR="0086633B" w:rsidRPr="001F3AFB" w:rsidRDefault="0086633B" w:rsidP="00687DD6">
      <w:pPr>
        <w:jc w:val="center"/>
        <w:rPr>
          <w:rFonts w:ascii="Arial" w:eastAsia="Arial" w:hAnsi="Arial" w:cs="Arial"/>
          <w:sz w:val="20"/>
          <w:szCs w:val="20"/>
        </w:rPr>
      </w:pPr>
    </w:p>
    <w:sectPr w:rsidR="0086633B" w:rsidRPr="001F3AFB" w:rsidSect="00687DD6">
      <w:headerReference w:type="default" r:id="rId13"/>
      <w:headerReference w:type="first" r:id="rId14"/>
      <w:pgSz w:w="11906" w:h="16838"/>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86919" w14:textId="77777777" w:rsidR="009B2EC9" w:rsidRDefault="009B2EC9">
      <w:pPr>
        <w:spacing w:after="0" w:line="240" w:lineRule="auto"/>
      </w:pPr>
      <w:r>
        <w:separator/>
      </w:r>
    </w:p>
  </w:endnote>
  <w:endnote w:type="continuationSeparator" w:id="0">
    <w:p w14:paraId="41D6C7DA" w14:textId="77777777" w:rsidR="009B2EC9" w:rsidRDefault="009B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35901" w14:textId="77777777" w:rsidR="009B2EC9" w:rsidRDefault="009B2EC9">
      <w:pPr>
        <w:spacing w:after="0" w:line="240" w:lineRule="auto"/>
      </w:pPr>
      <w:r>
        <w:separator/>
      </w:r>
    </w:p>
  </w:footnote>
  <w:footnote w:type="continuationSeparator" w:id="0">
    <w:p w14:paraId="4A7B772F" w14:textId="77777777" w:rsidR="009B2EC9" w:rsidRDefault="009B2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E831" w14:textId="5D095294" w:rsidR="009B2EC9" w:rsidRDefault="00E43AF8">
    <w:pPr>
      <w:pBdr>
        <w:top w:val="nil"/>
        <w:left w:val="nil"/>
        <w:bottom w:val="nil"/>
        <w:right w:val="nil"/>
        <w:between w:val="nil"/>
      </w:pBdr>
      <w:tabs>
        <w:tab w:val="center" w:pos="4252"/>
        <w:tab w:val="right" w:pos="8504"/>
      </w:tabs>
      <w:spacing w:after="0" w:line="240" w:lineRule="auto"/>
      <w:rPr>
        <w:color w:val="000000"/>
      </w:rPr>
    </w:pPr>
    <w:r>
      <w:rPr>
        <w:noProof/>
        <w:color w:val="000000"/>
      </w:rPr>
      <mc:AlternateContent>
        <mc:Choice Requires="wps">
          <w:drawing>
            <wp:anchor distT="0" distB="0" distL="114300" distR="114300" simplePos="0" relativeHeight="251656192" behindDoc="0" locked="0" layoutInCell="0" allowOverlap="1" wp14:anchorId="158A3470" wp14:editId="49B1DDD1">
              <wp:simplePos x="0" y="0"/>
              <wp:positionH relativeFrom="page">
                <wp:posOffset>0</wp:posOffset>
              </wp:positionH>
              <wp:positionV relativeFrom="page">
                <wp:posOffset>190500</wp:posOffset>
              </wp:positionV>
              <wp:extent cx="7560310" cy="273050"/>
              <wp:effectExtent l="0" t="0" r="0" b="12700"/>
              <wp:wrapNone/>
              <wp:docPr id="1" name="MSIPCMd0ec4b53bd04173c55f96f23"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09025" w14:textId="36443A6D" w:rsidR="00E43AF8" w:rsidRPr="00E43AF8" w:rsidRDefault="00E43AF8" w:rsidP="00E43AF8">
                          <w:pPr>
                            <w:spacing w:after="0"/>
                            <w:jc w:val="center"/>
                            <w:rPr>
                              <w:color w:val="000000"/>
                              <w:sz w:val="20"/>
                            </w:rPr>
                          </w:pPr>
                          <w:r w:rsidRPr="00E43AF8">
                            <w:rPr>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8A3470" id="_x0000_t202" coordsize="21600,21600" o:spt="202" path="m,l,21600r21600,l21600,xe">
              <v:stroke joinstyle="miter"/>
              <v:path gradientshapeok="t" o:connecttype="rect"/>
            </v:shapetype>
            <v:shape id="MSIPCMd0ec4b53bd04173c55f96f23" o:spid="_x0000_s1026" type="#_x0000_t202" alt="{&quot;HashCode&quot;:417909460,&quot;Height&quot;:841.0,&quot;Width&quot;:595.0,&quot;Placement&quot;:&quot;Header&quot;,&quot;Index&quot;:&quot;Primary&quot;,&quot;Section&quot;:1,&quot;Top&quot;:0.0,&quot;Left&quot;:0.0}"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A770CfFwMAADUGAAAOAAAAAAAAAAAAAAAAAC4C&#10;AABkcnMvZTJvRG9jLnhtbFBLAQItABQABgAIAAAAIQBLIgnm3AAAAAcBAAAPAAAAAAAAAAAAAAAA&#10;AHEFAABkcnMvZG93bnJldi54bWxQSwUGAAAAAAQABADzAAAAegYAAAAA&#10;" o:allowincell="f" filled="f" stroked="f" strokeweight=".5pt">
              <v:textbox inset=",0,,0">
                <w:txbxContent>
                  <w:p w14:paraId="33B09025" w14:textId="36443A6D" w:rsidR="00E43AF8" w:rsidRPr="00E43AF8" w:rsidRDefault="00E43AF8" w:rsidP="00E43AF8">
                    <w:pPr>
                      <w:spacing w:after="0"/>
                      <w:jc w:val="center"/>
                      <w:rPr>
                        <w:color w:val="000000"/>
                        <w:sz w:val="20"/>
                      </w:rPr>
                    </w:pPr>
                    <w:r w:rsidRPr="00E43AF8">
                      <w:rPr>
                        <w:color w:val="000000"/>
                        <w:sz w:val="20"/>
                      </w:rPr>
                      <w:t>Internal</w:t>
                    </w:r>
                  </w:p>
                </w:txbxContent>
              </v:textbox>
              <w10:wrap anchorx="page" anchory="page"/>
            </v:shape>
          </w:pict>
        </mc:Fallback>
      </mc:AlternateContent>
    </w:r>
  </w:p>
  <w:p w14:paraId="1C8E6DF4" w14:textId="43C9937D" w:rsidR="009B2EC9" w:rsidRDefault="009B2EC9">
    <w:pPr>
      <w:pBdr>
        <w:top w:val="nil"/>
        <w:left w:val="nil"/>
        <w:bottom w:val="nil"/>
        <w:right w:val="nil"/>
        <w:between w:val="nil"/>
      </w:pBdr>
      <w:tabs>
        <w:tab w:val="center" w:pos="4252"/>
        <w:tab w:val="right" w:pos="8504"/>
      </w:tabs>
      <w:spacing w:after="0" w:line="240" w:lineRule="auto"/>
      <w:rPr>
        <w:color w:val="000000"/>
      </w:rPr>
    </w:pPr>
  </w:p>
  <w:p w14:paraId="1F1CEE6D" w14:textId="77777777" w:rsidR="009B2EC9" w:rsidRDefault="009B2EC9">
    <w:pPr>
      <w:pBdr>
        <w:top w:val="nil"/>
        <w:left w:val="nil"/>
        <w:bottom w:val="nil"/>
        <w:right w:val="nil"/>
        <w:between w:val="nil"/>
      </w:pBdr>
      <w:tabs>
        <w:tab w:val="center" w:pos="4252"/>
        <w:tab w:val="right" w:pos="8504"/>
      </w:tabs>
      <w:spacing w:after="0" w:line="240" w:lineRule="auto"/>
      <w:rPr>
        <w:color w:val="000000"/>
      </w:rPr>
    </w:pPr>
  </w:p>
  <w:p w14:paraId="33F39BB2" w14:textId="77777777" w:rsidR="009B2EC9" w:rsidRDefault="009B2EC9">
    <w:pPr>
      <w:pBdr>
        <w:top w:val="nil"/>
        <w:left w:val="nil"/>
        <w:bottom w:val="nil"/>
        <w:right w:val="nil"/>
        <w:between w:val="nil"/>
      </w:pBdr>
      <w:tabs>
        <w:tab w:val="center" w:pos="4252"/>
        <w:tab w:val="right" w:pos="8504"/>
      </w:tabs>
      <w:spacing w:after="0" w:line="240" w:lineRule="auto"/>
      <w:rPr>
        <w:color w:val="000000"/>
      </w:rPr>
    </w:pPr>
  </w:p>
  <w:p w14:paraId="23A8DC2C" w14:textId="77777777" w:rsidR="009B2EC9" w:rsidRDefault="009B2EC9">
    <w:pPr>
      <w:pBdr>
        <w:top w:val="nil"/>
        <w:left w:val="nil"/>
        <w:bottom w:val="nil"/>
        <w:right w:val="nil"/>
        <w:between w:val="nil"/>
      </w:pBdr>
      <w:tabs>
        <w:tab w:val="center" w:pos="4252"/>
        <w:tab w:val="right" w:pos="8504"/>
      </w:tabs>
      <w:spacing w:after="0" w:line="240" w:lineRule="auto"/>
      <w:rPr>
        <w:color w:val="000000"/>
      </w:rPr>
    </w:pPr>
  </w:p>
  <w:p w14:paraId="20135C07" w14:textId="77777777" w:rsidR="009B2EC9" w:rsidRDefault="009B2EC9">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171D" w14:textId="262470D9" w:rsidR="001F3AFB" w:rsidRDefault="009C0B1E">
    <w:pPr>
      <w:pStyle w:val="Encabezado"/>
    </w:pPr>
    <w:r>
      <w:rPr>
        <w:noProof/>
      </w:rPr>
      <mc:AlternateContent>
        <mc:Choice Requires="wps">
          <w:drawing>
            <wp:anchor distT="0" distB="0" distL="114300" distR="114300" simplePos="0" relativeHeight="251663360" behindDoc="0" locked="0" layoutInCell="0" allowOverlap="1" wp14:anchorId="5F09ED40" wp14:editId="5917D632">
              <wp:simplePos x="0" y="0"/>
              <wp:positionH relativeFrom="page">
                <wp:posOffset>0</wp:posOffset>
              </wp:positionH>
              <wp:positionV relativeFrom="page">
                <wp:posOffset>190500</wp:posOffset>
              </wp:positionV>
              <wp:extent cx="7560310" cy="273050"/>
              <wp:effectExtent l="0" t="0" r="0" b="12700"/>
              <wp:wrapNone/>
              <wp:docPr id="2" name="MSIPCM69564491afe03fd125c4a93a"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A62A86" w14:textId="7F45F3CC" w:rsidR="009C0B1E" w:rsidRPr="009C0B1E" w:rsidRDefault="009C0B1E" w:rsidP="009C0B1E">
                          <w:pPr>
                            <w:spacing w:after="0"/>
                            <w:jc w:val="center"/>
                            <w:rPr>
                              <w:color w:val="000000"/>
                              <w:sz w:val="20"/>
                            </w:rPr>
                          </w:pPr>
                          <w:r w:rsidRPr="009C0B1E">
                            <w:rPr>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9ED40" id="_x0000_t202" coordsize="21600,21600" o:spt="202" path="m,l,21600r21600,l21600,xe">
              <v:stroke joinstyle="miter"/>
              <v:path gradientshapeok="t" o:connecttype="rect"/>
            </v:shapetype>
            <v:shape id="MSIPCM69564491afe03fd125c4a93a" o:spid="_x0000_s1027" type="#_x0000_t202" alt="{&quot;HashCode&quot;:417909460,&quot;Height&quot;:841.0,&quot;Width&quot;:595.0,&quot;Placement&quot;:&quot;Header&quot;,&quot;Index&quot;:&quot;FirstPage&quot;,&quot;Section&quot;:1,&quot;Top&quot;:0.0,&quot;Left&quot;:0.0}"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ITS0xgWAwAAPgYAAA4AAAAAAAAAAAAAAAAALgIA&#10;AGRycy9lMm9Eb2MueG1sUEsBAi0AFAAGAAgAAAAhAEsiCebcAAAABwEAAA8AAAAAAAAAAAAAAAAA&#10;cAUAAGRycy9kb3ducmV2LnhtbFBLBQYAAAAABAAEAPMAAAB5BgAAAAA=&#10;" o:allowincell="f" filled="f" stroked="f" strokeweight=".5pt">
              <v:textbox inset=",0,,0">
                <w:txbxContent>
                  <w:p w14:paraId="75A62A86" w14:textId="7F45F3CC" w:rsidR="009C0B1E" w:rsidRPr="009C0B1E" w:rsidRDefault="009C0B1E" w:rsidP="009C0B1E">
                    <w:pPr>
                      <w:spacing w:after="0"/>
                      <w:jc w:val="center"/>
                      <w:rPr>
                        <w:color w:val="000000"/>
                        <w:sz w:val="20"/>
                      </w:rPr>
                    </w:pPr>
                    <w:r w:rsidRPr="009C0B1E">
                      <w:rPr>
                        <w:color w:val="000000"/>
                        <w:sz w:val="20"/>
                      </w:rPr>
                      <w:t>Internal</w:t>
                    </w:r>
                  </w:p>
                </w:txbxContent>
              </v:textbox>
              <w10:wrap anchorx="page" anchory="page"/>
            </v:shape>
          </w:pict>
        </mc:Fallback>
      </mc:AlternateContent>
    </w:r>
    <w:r w:rsidR="001F3AFB">
      <w:tab/>
    </w:r>
    <w:r w:rsidR="001F3AFB">
      <w:tab/>
    </w:r>
    <w:r w:rsidR="001F3AFB" w:rsidRPr="001F3AFB">
      <w:rPr>
        <w:rFonts w:ascii="Arial" w:eastAsia="Times New Roman" w:hAnsi="Arial" w:cs="Times New Roman"/>
        <w:b/>
        <w:noProof/>
        <w:color w:val="000080"/>
        <w:sz w:val="28"/>
      </w:rPr>
      <w:drawing>
        <wp:inline distT="0" distB="0" distL="0" distR="0" wp14:anchorId="062D3ADD" wp14:editId="451AC6A8">
          <wp:extent cx="1638000" cy="399600"/>
          <wp:effectExtent l="0" t="0" r="635" b="635"/>
          <wp:docPr id="4" name="Imagen 4"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000" cy="39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bullet"/>
      <w:lvlText w:val=""/>
      <w:lvlJc w:val="left"/>
      <w:pPr>
        <w:tabs>
          <w:tab w:val="num" w:pos="900"/>
        </w:tabs>
        <w:ind w:left="900" w:hanging="360"/>
      </w:pPr>
      <w:rPr>
        <w:rFonts w:ascii="Symbol" w:hAnsi="Symbo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3B"/>
    <w:rsid w:val="000609E7"/>
    <w:rsid w:val="00082040"/>
    <w:rsid w:val="00131371"/>
    <w:rsid w:val="001A4E01"/>
    <w:rsid w:val="001A6652"/>
    <w:rsid w:val="001F3AFB"/>
    <w:rsid w:val="002D268A"/>
    <w:rsid w:val="0030083F"/>
    <w:rsid w:val="00395BF6"/>
    <w:rsid w:val="003C1DFE"/>
    <w:rsid w:val="005E3DB5"/>
    <w:rsid w:val="00675CA6"/>
    <w:rsid w:val="00687DD6"/>
    <w:rsid w:val="006A2EC6"/>
    <w:rsid w:val="00805559"/>
    <w:rsid w:val="00842704"/>
    <w:rsid w:val="0086633B"/>
    <w:rsid w:val="008C3449"/>
    <w:rsid w:val="008E668A"/>
    <w:rsid w:val="009B2EC9"/>
    <w:rsid w:val="009C0B1E"/>
    <w:rsid w:val="00A95DE4"/>
    <w:rsid w:val="00AD1504"/>
    <w:rsid w:val="00B22494"/>
    <w:rsid w:val="00BC6743"/>
    <w:rsid w:val="00BF1B17"/>
    <w:rsid w:val="00CB1431"/>
    <w:rsid w:val="00DB052A"/>
    <w:rsid w:val="00E43AF8"/>
    <w:rsid w:val="00E728B2"/>
    <w:rsid w:val="00F17E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9FA99B"/>
  <w15:docId w15:val="{759A5672-A509-4095-8E28-9BCBFE50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nfasis">
    <w:name w:val="Emphasis"/>
    <w:basedOn w:val="Fuentedeprrafopredeter"/>
    <w:uiPriority w:val="20"/>
    <w:qFormat/>
    <w:rsid w:val="00FC7BA0"/>
    <w:rPr>
      <w:i/>
      <w:iCs/>
    </w:rPr>
  </w:style>
  <w:style w:type="paragraph" w:styleId="Encabezado">
    <w:name w:val="header"/>
    <w:basedOn w:val="Normal"/>
    <w:link w:val="EncabezadoCar"/>
    <w:uiPriority w:val="99"/>
    <w:unhideWhenUsed/>
    <w:rsid w:val="00965C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5C05"/>
  </w:style>
  <w:style w:type="paragraph" w:styleId="Piedepgina">
    <w:name w:val="footer"/>
    <w:basedOn w:val="Normal"/>
    <w:link w:val="PiedepginaCar"/>
    <w:uiPriority w:val="99"/>
    <w:unhideWhenUsed/>
    <w:rsid w:val="00965C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5C05"/>
  </w:style>
  <w:style w:type="character" w:styleId="Hipervnculo">
    <w:name w:val="Hyperlink"/>
    <w:basedOn w:val="Fuentedeprrafopredeter"/>
    <w:uiPriority w:val="99"/>
    <w:unhideWhenUsed/>
    <w:rsid w:val="00E07940"/>
    <w:rPr>
      <w:color w:val="0563C1" w:themeColor="hyperlink"/>
      <w:u w:val="single"/>
    </w:rPr>
  </w:style>
  <w:style w:type="character" w:customStyle="1" w:styleId="Mencinsinresolver1">
    <w:name w:val="Mención sin resolver1"/>
    <w:basedOn w:val="Fuentedeprrafopredeter"/>
    <w:uiPriority w:val="99"/>
    <w:semiHidden/>
    <w:unhideWhenUsed/>
    <w:rsid w:val="00E07940"/>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B365EE"/>
    <w:pPr>
      <w:spacing w:after="0" w:line="240" w:lineRule="auto"/>
    </w:pPr>
  </w:style>
  <w:style w:type="character" w:styleId="Refdecomentario">
    <w:name w:val="annotation reference"/>
    <w:basedOn w:val="Fuentedeprrafopredeter"/>
    <w:uiPriority w:val="99"/>
    <w:semiHidden/>
    <w:unhideWhenUsed/>
    <w:rsid w:val="00D163EA"/>
    <w:rPr>
      <w:sz w:val="16"/>
      <w:szCs w:val="16"/>
    </w:rPr>
  </w:style>
  <w:style w:type="paragraph" w:styleId="Textocomentario">
    <w:name w:val="annotation text"/>
    <w:basedOn w:val="Normal"/>
    <w:link w:val="TextocomentarioCar"/>
    <w:uiPriority w:val="99"/>
    <w:semiHidden/>
    <w:unhideWhenUsed/>
    <w:rsid w:val="00D163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63EA"/>
    <w:rPr>
      <w:sz w:val="20"/>
      <w:szCs w:val="20"/>
    </w:rPr>
  </w:style>
  <w:style w:type="paragraph" w:styleId="Asuntodelcomentario">
    <w:name w:val="annotation subject"/>
    <w:basedOn w:val="Textocomentario"/>
    <w:next w:val="Textocomentario"/>
    <w:link w:val="AsuntodelcomentarioCar"/>
    <w:uiPriority w:val="99"/>
    <w:semiHidden/>
    <w:unhideWhenUsed/>
    <w:rsid w:val="00D163EA"/>
    <w:rPr>
      <w:b/>
      <w:bCs/>
    </w:rPr>
  </w:style>
  <w:style w:type="character" w:customStyle="1" w:styleId="AsuntodelcomentarioCar">
    <w:name w:val="Asunto del comentario Car"/>
    <w:basedOn w:val="TextocomentarioCar"/>
    <w:link w:val="Asuntodelcomentario"/>
    <w:uiPriority w:val="99"/>
    <w:semiHidden/>
    <w:rsid w:val="00D163EA"/>
    <w:rPr>
      <w:b/>
      <w:bCs/>
      <w:sz w:val="20"/>
      <w:szCs w:val="20"/>
    </w:rPr>
  </w:style>
  <w:style w:type="character" w:styleId="Hipervnculovisitado">
    <w:name w:val="FollowedHyperlink"/>
    <w:basedOn w:val="Fuentedeprrafopredeter"/>
    <w:uiPriority w:val="99"/>
    <w:semiHidden/>
    <w:unhideWhenUsed/>
    <w:rsid w:val="00FD457C"/>
    <w:rPr>
      <w:color w:val="954F72" w:themeColor="followedHyperlink"/>
      <w:u w:val="single"/>
    </w:rPr>
  </w:style>
  <w:style w:type="paragraph" w:styleId="Textodeglobo">
    <w:name w:val="Balloon Text"/>
    <w:basedOn w:val="Normal"/>
    <w:link w:val="TextodegloboCar"/>
    <w:uiPriority w:val="99"/>
    <w:semiHidden/>
    <w:unhideWhenUsed/>
    <w:rsid w:val="00E43A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AF8"/>
    <w:rPr>
      <w:rFonts w:ascii="Segoe UI" w:hAnsi="Segoe UI" w:cs="Segoe UI"/>
      <w:sz w:val="18"/>
      <w:szCs w:val="18"/>
    </w:rPr>
  </w:style>
  <w:style w:type="paragraph" w:styleId="Prrafodelista">
    <w:name w:val="List Paragraph"/>
    <w:basedOn w:val="Normal"/>
    <w:uiPriority w:val="34"/>
    <w:qFormat/>
    <w:rsid w:val="006A2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ianz.es/prensa/nota-preventiv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aciondiversidad.com/firma-charter-diversid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38" ma:contentTypeDescription="Contenido no relevante." ma:contentTypeScope="" ma:versionID="a6b65a5f2ed3bb973ce78db271fd080c">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c56c124ec374e764bbbb7f3d4c182538"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FS8cPXo44miOEztiBSGwYyBW/jg==">AMUW2mVvh2gzNX3pXbrniYC3/xWgG/QTenLjtqvfpAUvf9a635w9atj9lD0lUEKib2xcKX2fs0GjL+OCvt+3dOUQtfmgVahsdndIQVWQaxC7Xwo/9tKc2EQ=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ContractStatus xmlns="9ff07a45-11f5-479e-a441-cd98a86709fe">Sequía</ContractStatus>
  </documentManagement>
</p:properties>
</file>

<file path=customXml/itemProps1.xml><?xml version="1.0" encoding="utf-8"?>
<ds:datastoreItem xmlns:ds="http://schemas.openxmlformats.org/officeDocument/2006/customXml" ds:itemID="{E50416D7-65B6-4948-89FE-2EE0FF027BC8}">
  <ds:schemaRefs>
    <ds:schemaRef ds:uri="http://schemas.microsoft.com/sharepoint/v3/contenttype/forms"/>
  </ds:schemaRefs>
</ds:datastoreItem>
</file>

<file path=customXml/itemProps2.xml><?xml version="1.0" encoding="utf-8"?>
<ds:datastoreItem xmlns:ds="http://schemas.openxmlformats.org/officeDocument/2006/customXml" ds:itemID="{1FC3327D-5EFE-4BDC-8343-85192D1D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D841564-2A4B-494E-A0CE-B49A28521FAA}">
  <ds:schemaRefs>
    <ds:schemaRef ds:uri="http://purl.org/dc/dcmitype/"/>
    <ds:schemaRef ds:uri="http://purl.org/dc/elements/1.1/"/>
    <ds:schemaRef ds:uri="http://schemas.microsoft.com/office/infopath/2007/PartnerControls"/>
    <ds:schemaRef ds:uri="9ff07a45-11f5-479e-a441-cd98a86709fe"/>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5d5361cd-dd21-42bb-ace1-e1b72dd4ac8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ALARES</dc:creator>
  <cp:lastModifiedBy>Rodriguez Mosquera, Sonia</cp:lastModifiedBy>
  <cp:revision>2</cp:revision>
  <dcterms:created xsi:type="dcterms:W3CDTF">2022-05-19T06:16:00Z</dcterms:created>
  <dcterms:modified xsi:type="dcterms:W3CDTF">2022-05-19T06:16:00Z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0x010100125D78925D459C4792E0AB097CA57A8700468EE264CD9B964F9956379036DA5620</vt:lpwstr>
  </property>
  <property fmtid="{D5CDD505-2E9C-101B-9397-08002B2CF9AE}" pid="3" name="Metadata">
    <vt:lpwstr>b7988hualzfd</vt:lpwstr>
  </property>
  <property fmtid="{D5CDD505-2E9C-101B-9397-08002B2CF9AE}" pid="4" name="OfficeDocumentSecurity_18052022160909">
    <vt:lpwstr>18052022160909;e006418;0</vt:lpwstr>
  </property>
  <property fmtid="{D5CDD505-2E9C-101B-9397-08002B2CF9AE}" pid="5" name="MSIP_Label_863bc15e-e7bf-41c1-bdb3-03882d8a2e2c_Enabled">
    <vt:lpwstr>true</vt:lpwstr>
  </property>
  <property fmtid="{D5CDD505-2E9C-101B-9397-08002B2CF9AE}" pid="6" name="MSIP_Label_863bc15e-e7bf-41c1-bdb3-03882d8a2e2c_SetDate">
    <vt:lpwstr>2022-05-19T06:15:27Z</vt:lpwstr>
  </property>
  <property fmtid="{D5CDD505-2E9C-101B-9397-08002B2CF9AE}" pid="7" name="MSIP_Label_863bc15e-e7bf-41c1-bdb3-03882d8a2e2c_Method">
    <vt:lpwstr>Privileged</vt:lpwstr>
  </property>
  <property fmtid="{D5CDD505-2E9C-101B-9397-08002B2CF9AE}" pid="8" name="MSIP_Label_863bc15e-e7bf-41c1-bdb3-03882d8a2e2c_Name">
    <vt:lpwstr>863bc15e-e7bf-41c1-bdb3-03882d8a2e2c</vt:lpwstr>
  </property>
  <property fmtid="{D5CDD505-2E9C-101B-9397-08002B2CF9AE}" pid="9" name="MSIP_Label_863bc15e-e7bf-41c1-bdb3-03882d8a2e2c_SiteId">
    <vt:lpwstr>6e06e42d-6925-47c6-b9e7-9581c7ca302a</vt:lpwstr>
  </property>
  <property fmtid="{D5CDD505-2E9C-101B-9397-08002B2CF9AE}" pid="10" name="MSIP_Label_863bc15e-e7bf-41c1-bdb3-03882d8a2e2c_ActionId">
    <vt:lpwstr>21584674-fc47-469c-b8bb-cbabb34318bf</vt:lpwstr>
  </property>
  <property fmtid="{D5CDD505-2E9C-101B-9397-08002B2CF9AE}" pid="11" name="MSIP_Label_863bc15e-e7bf-41c1-bdb3-03882d8a2e2c_ContentBits">
    <vt:lpwstr>1</vt:lpwstr>
  </property>
</Properties>
</file>