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AE47" w14:textId="49A22048" w:rsidR="00B827E9" w:rsidRDefault="00CD4ABD" w:rsidP="00B827E9">
      <w:pPr>
        <w:jc w:val="center"/>
        <w:rPr>
          <w:rFonts w:ascii="Arial" w:hAnsi="Arial" w:cs="Arial"/>
          <w:b/>
          <w:bCs/>
          <w:sz w:val="32"/>
          <w:szCs w:val="32"/>
          <w:lang w:val="es-ES"/>
        </w:rPr>
      </w:pPr>
      <w:r>
        <w:rPr>
          <w:rFonts w:ascii="Arial" w:hAnsi="Arial" w:cs="Arial"/>
          <w:b/>
          <w:bCs/>
          <w:sz w:val="32"/>
          <w:szCs w:val="32"/>
          <w:lang w:val="es-ES"/>
        </w:rPr>
        <w:t xml:space="preserve">Allianz Seguros y </w:t>
      </w:r>
      <w:r w:rsidR="671441EC" w:rsidRPr="7E940D4B">
        <w:rPr>
          <w:rFonts w:ascii="Arial" w:hAnsi="Arial" w:cs="Arial"/>
          <w:b/>
          <w:bCs/>
          <w:sz w:val="32"/>
          <w:szCs w:val="32"/>
          <w:lang w:val="es-ES"/>
        </w:rPr>
        <w:t xml:space="preserve">BBVA Allianz </w:t>
      </w:r>
      <w:r w:rsidR="00A27124" w:rsidRPr="00A27124">
        <w:rPr>
          <w:rFonts w:ascii="Arial" w:hAnsi="Arial" w:cs="Arial"/>
          <w:b/>
          <w:bCs/>
          <w:sz w:val="32"/>
          <w:szCs w:val="32"/>
          <w:lang w:val="es-ES"/>
        </w:rPr>
        <w:t>amplían la protección del Hogar contra la ocupación ilegal, sin coste adiciona</w:t>
      </w:r>
      <w:r w:rsidR="00A27124">
        <w:rPr>
          <w:rFonts w:ascii="Arial" w:hAnsi="Arial" w:cs="Arial"/>
          <w:b/>
          <w:bCs/>
          <w:sz w:val="32"/>
          <w:szCs w:val="32"/>
          <w:lang w:val="es-ES"/>
        </w:rPr>
        <w:t>l</w:t>
      </w:r>
    </w:p>
    <w:p w14:paraId="48558452" w14:textId="77777777" w:rsidR="009E2AA3" w:rsidRPr="007F1237" w:rsidRDefault="009E2AA3" w:rsidP="00B827E9">
      <w:pPr>
        <w:jc w:val="center"/>
        <w:rPr>
          <w:rFonts w:ascii="Arial" w:hAnsi="Arial" w:cs="Arial"/>
          <w:b/>
          <w:bCs/>
          <w:sz w:val="32"/>
          <w:szCs w:val="32"/>
          <w:lang w:val="es-ES"/>
        </w:rPr>
      </w:pPr>
    </w:p>
    <w:p w14:paraId="4247C2DB" w14:textId="415BB228" w:rsidR="00B827E9" w:rsidRPr="007F1237" w:rsidRDefault="00B827E9" w:rsidP="00B827E9">
      <w:pPr>
        <w:pStyle w:val="Prrafodelista"/>
        <w:numPr>
          <w:ilvl w:val="0"/>
          <w:numId w:val="5"/>
        </w:numPr>
        <w:rPr>
          <w:rFonts w:ascii="Arial" w:hAnsi="Arial" w:cs="Arial"/>
          <w:b/>
          <w:bCs/>
          <w:lang w:val="es-ES"/>
        </w:rPr>
      </w:pPr>
      <w:r w:rsidRPr="007F1237">
        <w:rPr>
          <w:rFonts w:ascii="Arial" w:hAnsi="Arial" w:cs="Arial"/>
          <w:b/>
          <w:bCs/>
          <w:lang w:val="es-ES"/>
        </w:rPr>
        <w:t>Las nuevas coberturas se integrarán sin coste adicional tanto en nuevas pólizas como en las ya existentes en cartera.</w:t>
      </w:r>
    </w:p>
    <w:p w14:paraId="29AFE04D" w14:textId="77777777" w:rsidR="00B827E9" w:rsidRPr="00B827E9" w:rsidRDefault="00B827E9" w:rsidP="00B827E9">
      <w:pPr>
        <w:numPr>
          <w:ilvl w:val="0"/>
          <w:numId w:val="5"/>
        </w:numPr>
        <w:rPr>
          <w:rFonts w:ascii="Arial" w:hAnsi="Arial" w:cs="Arial"/>
          <w:b/>
          <w:bCs/>
          <w:lang w:val="es-ES"/>
        </w:rPr>
      </w:pPr>
      <w:r w:rsidRPr="00B827E9">
        <w:rPr>
          <w:rFonts w:ascii="Arial" w:hAnsi="Arial" w:cs="Arial"/>
          <w:b/>
          <w:bCs/>
          <w:lang w:val="es-ES"/>
        </w:rPr>
        <w:t>Incorpora protección específica frente a la ocupación ilegal y la “</w:t>
      </w:r>
      <w:proofErr w:type="spellStart"/>
      <w:r w:rsidRPr="00B827E9">
        <w:rPr>
          <w:rFonts w:ascii="Arial" w:hAnsi="Arial" w:cs="Arial"/>
          <w:b/>
          <w:bCs/>
          <w:lang w:val="es-ES"/>
        </w:rPr>
        <w:t>inquiocupación</w:t>
      </w:r>
      <w:proofErr w:type="spellEnd"/>
      <w:r w:rsidRPr="00B827E9">
        <w:rPr>
          <w:rFonts w:ascii="Arial" w:hAnsi="Arial" w:cs="Arial"/>
          <w:b/>
          <w:bCs/>
          <w:lang w:val="es-ES"/>
        </w:rPr>
        <w:t>”, una casuística creciente en el mercado del alquiler.</w:t>
      </w:r>
    </w:p>
    <w:p w14:paraId="0C50F5C9" w14:textId="77777777" w:rsidR="00B827E9" w:rsidRDefault="00B827E9" w:rsidP="00B827E9">
      <w:pPr>
        <w:rPr>
          <w:b/>
          <w:bCs/>
          <w:lang w:val="es-ES"/>
        </w:rPr>
      </w:pPr>
    </w:p>
    <w:p w14:paraId="43146C8C" w14:textId="26EA5EC0" w:rsidR="00B827E9" w:rsidRPr="00B827E9" w:rsidRDefault="00B827E9" w:rsidP="00B827E9">
      <w:pPr>
        <w:jc w:val="both"/>
        <w:rPr>
          <w:rFonts w:ascii="Arial" w:hAnsi="Arial" w:cs="Arial"/>
          <w:sz w:val="22"/>
          <w:szCs w:val="22"/>
          <w:lang w:val="es-ES"/>
        </w:rPr>
      </w:pPr>
      <w:r w:rsidRPr="1248986B">
        <w:rPr>
          <w:rFonts w:ascii="Arial" w:hAnsi="Arial" w:cs="Arial"/>
          <w:b/>
          <w:bCs/>
          <w:sz w:val="22"/>
          <w:szCs w:val="22"/>
          <w:lang w:val="es-ES"/>
        </w:rPr>
        <w:t xml:space="preserve">Madrid, </w:t>
      </w:r>
      <w:r w:rsidR="009B5007">
        <w:rPr>
          <w:rFonts w:ascii="Arial" w:hAnsi="Arial" w:cs="Arial"/>
          <w:b/>
          <w:bCs/>
          <w:sz w:val="22"/>
          <w:szCs w:val="22"/>
          <w:lang w:val="es-ES"/>
        </w:rPr>
        <w:t>2</w:t>
      </w:r>
      <w:r w:rsidR="009F40A0">
        <w:rPr>
          <w:rFonts w:ascii="Arial" w:hAnsi="Arial" w:cs="Arial"/>
          <w:b/>
          <w:bCs/>
          <w:sz w:val="22"/>
          <w:szCs w:val="22"/>
          <w:lang w:val="es-ES"/>
        </w:rPr>
        <w:t>9</w:t>
      </w:r>
      <w:r w:rsidRPr="1248986B">
        <w:rPr>
          <w:rFonts w:ascii="Arial" w:hAnsi="Arial" w:cs="Arial"/>
          <w:b/>
          <w:bCs/>
          <w:sz w:val="22"/>
          <w:szCs w:val="22"/>
          <w:lang w:val="es-ES"/>
        </w:rPr>
        <w:t xml:space="preserve"> de </w:t>
      </w:r>
      <w:r w:rsidR="0658DF47" w:rsidRPr="1248986B">
        <w:rPr>
          <w:rFonts w:ascii="Arial" w:hAnsi="Arial" w:cs="Arial"/>
          <w:b/>
          <w:bCs/>
          <w:sz w:val="22"/>
          <w:szCs w:val="22"/>
          <w:lang w:val="es-ES"/>
        </w:rPr>
        <w:t>abril</w:t>
      </w:r>
      <w:r w:rsidRPr="1248986B">
        <w:rPr>
          <w:rFonts w:ascii="Arial" w:hAnsi="Arial" w:cs="Arial"/>
          <w:b/>
          <w:bCs/>
          <w:sz w:val="22"/>
          <w:szCs w:val="22"/>
          <w:lang w:val="es-ES"/>
        </w:rPr>
        <w:t xml:space="preserve"> 2026.-</w:t>
      </w:r>
      <w:r w:rsidRPr="1248986B">
        <w:rPr>
          <w:rFonts w:ascii="Arial" w:hAnsi="Arial" w:cs="Arial"/>
          <w:sz w:val="22"/>
          <w:szCs w:val="22"/>
          <w:lang w:val="es-ES"/>
        </w:rPr>
        <w:t xml:space="preserve"> </w:t>
      </w:r>
      <w:r w:rsidR="005153AF" w:rsidRPr="1248986B">
        <w:rPr>
          <w:rFonts w:ascii="Arial" w:hAnsi="Arial" w:cs="Arial"/>
          <w:sz w:val="22"/>
          <w:szCs w:val="22"/>
          <w:lang w:val="es-ES"/>
        </w:rPr>
        <w:t xml:space="preserve">Allianz Seguros y </w:t>
      </w:r>
      <w:r w:rsidRPr="1248986B">
        <w:rPr>
          <w:rFonts w:ascii="Arial" w:hAnsi="Arial" w:cs="Arial"/>
          <w:sz w:val="22"/>
          <w:szCs w:val="22"/>
          <w:lang w:val="es-ES"/>
        </w:rPr>
        <w:t>BBVA Allianz</w:t>
      </w:r>
      <w:r w:rsidR="003157B6" w:rsidRPr="1248986B">
        <w:rPr>
          <w:rFonts w:ascii="Arial" w:hAnsi="Arial" w:cs="Arial"/>
          <w:sz w:val="22"/>
          <w:szCs w:val="22"/>
          <w:lang w:val="es-ES"/>
        </w:rPr>
        <w:t xml:space="preserve">, la </w:t>
      </w:r>
      <w:r w:rsidR="0049298E" w:rsidRPr="1248986B">
        <w:rPr>
          <w:rFonts w:ascii="Arial" w:hAnsi="Arial" w:cs="Arial"/>
          <w:sz w:val="22"/>
          <w:szCs w:val="22"/>
          <w:lang w:val="es-ES"/>
        </w:rPr>
        <w:t>‘</w:t>
      </w:r>
      <w:proofErr w:type="spellStart"/>
      <w:r w:rsidR="0049298E" w:rsidRPr="1248986B">
        <w:rPr>
          <w:rFonts w:ascii="Arial" w:hAnsi="Arial" w:cs="Arial"/>
          <w:sz w:val="22"/>
          <w:szCs w:val="22"/>
          <w:lang w:val="es-ES"/>
        </w:rPr>
        <w:t>joint</w:t>
      </w:r>
      <w:proofErr w:type="spellEnd"/>
      <w:r w:rsidR="0049298E" w:rsidRPr="1248986B">
        <w:rPr>
          <w:rFonts w:ascii="Arial" w:hAnsi="Arial" w:cs="Arial"/>
          <w:sz w:val="22"/>
          <w:szCs w:val="22"/>
          <w:lang w:val="es-ES"/>
        </w:rPr>
        <w:t xml:space="preserve"> venture’ de banca</w:t>
      </w:r>
      <w:r w:rsidR="000664AA" w:rsidRPr="1248986B">
        <w:rPr>
          <w:rFonts w:ascii="Arial" w:hAnsi="Arial" w:cs="Arial"/>
          <w:sz w:val="22"/>
          <w:szCs w:val="22"/>
          <w:lang w:val="es-ES"/>
        </w:rPr>
        <w:t xml:space="preserve"> </w:t>
      </w:r>
      <w:r w:rsidR="0049298E" w:rsidRPr="1248986B">
        <w:rPr>
          <w:rFonts w:ascii="Arial" w:hAnsi="Arial" w:cs="Arial"/>
          <w:sz w:val="22"/>
          <w:szCs w:val="22"/>
          <w:lang w:val="es-ES"/>
        </w:rPr>
        <w:t xml:space="preserve">seguros entre Allianz y BBVA, </w:t>
      </w:r>
      <w:r w:rsidRPr="1248986B">
        <w:rPr>
          <w:rFonts w:ascii="Arial" w:hAnsi="Arial" w:cs="Arial"/>
          <w:sz w:val="22"/>
          <w:szCs w:val="22"/>
          <w:lang w:val="es-ES"/>
        </w:rPr>
        <w:t>sigue</w:t>
      </w:r>
      <w:r w:rsidR="005153AF" w:rsidRPr="1248986B">
        <w:rPr>
          <w:rFonts w:ascii="Arial" w:hAnsi="Arial" w:cs="Arial"/>
          <w:sz w:val="22"/>
          <w:szCs w:val="22"/>
          <w:lang w:val="es-ES"/>
        </w:rPr>
        <w:t>n</w:t>
      </w:r>
      <w:r w:rsidRPr="1248986B">
        <w:rPr>
          <w:rFonts w:ascii="Arial" w:hAnsi="Arial" w:cs="Arial"/>
          <w:sz w:val="22"/>
          <w:szCs w:val="22"/>
          <w:lang w:val="es-ES"/>
        </w:rPr>
        <w:t xml:space="preserve"> reforzando su</w:t>
      </w:r>
      <w:r w:rsidR="005A4B4B" w:rsidRPr="1248986B">
        <w:rPr>
          <w:rFonts w:ascii="Arial" w:hAnsi="Arial" w:cs="Arial"/>
          <w:sz w:val="22"/>
          <w:szCs w:val="22"/>
          <w:lang w:val="es-ES"/>
        </w:rPr>
        <w:t xml:space="preserve">s soluciones aseguradoras en el entorno del </w:t>
      </w:r>
      <w:r w:rsidRPr="1248986B">
        <w:rPr>
          <w:rFonts w:ascii="Arial" w:hAnsi="Arial" w:cs="Arial"/>
          <w:sz w:val="22"/>
          <w:szCs w:val="22"/>
          <w:lang w:val="es-ES"/>
        </w:rPr>
        <w:t xml:space="preserve">Hogar </w:t>
      </w:r>
      <w:r w:rsidRPr="1248986B">
        <w:rPr>
          <w:rFonts w:ascii="Arial" w:hAnsi="Arial" w:cs="Arial"/>
          <w:b/>
          <w:bCs/>
          <w:sz w:val="22"/>
          <w:szCs w:val="22"/>
          <w:lang w:val="es-ES"/>
        </w:rPr>
        <w:t>con actualizaciones orientadas a garantizar que sus clientes estén protegidos frente a cualquier contingencia</w:t>
      </w:r>
      <w:r w:rsidRPr="1248986B">
        <w:rPr>
          <w:rFonts w:ascii="Arial" w:hAnsi="Arial" w:cs="Arial"/>
          <w:sz w:val="22"/>
          <w:szCs w:val="22"/>
          <w:lang w:val="es-ES"/>
        </w:rPr>
        <w:t>, tanto las tradicionales como aquellas que surgen con la evolución de la sociedad y los nuevos modelos de convivencia y arrendamiento.</w:t>
      </w:r>
    </w:p>
    <w:p w14:paraId="019517BF" w14:textId="1C7CFFEA" w:rsidR="00B827E9" w:rsidRPr="00B827E9" w:rsidRDefault="671441EC" w:rsidP="00B827E9">
      <w:pPr>
        <w:jc w:val="both"/>
        <w:rPr>
          <w:rFonts w:ascii="Arial" w:hAnsi="Arial" w:cs="Arial"/>
          <w:sz w:val="22"/>
          <w:szCs w:val="22"/>
          <w:lang w:val="es-ES"/>
        </w:rPr>
      </w:pPr>
      <w:r w:rsidRPr="7E940D4B">
        <w:rPr>
          <w:rFonts w:ascii="Arial" w:hAnsi="Arial" w:cs="Arial"/>
          <w:sz w:val="22"/>
          <w:szCs w:val="22"/>
          <w:lang w:val="es-ES"/>
        </w:rPr>
        <w:t xml:space="preserve">En este contexto, </w:t>
      </w:r>
      <w:r w:rsidR="005A4B4B">
        <w:rPr>
          <w:rFonts w:ascii="Arial" w:hAnsi="Arial" w:cs="Arial"/>
          <w:sz w:val="22"/>
          <w:szCs w:val="22"/>
          <w:lang w:val="es-ES"/>
        </w:rPr>
        <w:t>han</w:t>
      </w:r>
      <w:r w:rsidRPr="7E940D4B">
        <w:rPr>
          <w:rFonts w:ascii="Arial" w:hAnsi="Arial" w:cs="Arial"/>
          <w:sz w:val="22"/>
          <w:szCs w:val="22"/>
          <w:lang w:val="es-ES"/>
        </w:rPr>
        <w:t xml:space="preserve"> incorporado nuevas coberturas específicas frente a la ocupación ilegal y la denominada “</w:t>
      </w:r>
      <w:proofErr w:type="spellStart"/>
      <w:r w:rsidRPr="7E940D4B">
        <w:rPr>
          <w:rFonts w:ascii="Arial" w:hAnsi="Arial" w:cs="Arial"/>
          <w:sz w:val="22"/>
          <w:szCs w:val="22"/>
          <w:lang w:val="es-ES"/>
        </w:rPr>
        <w:t>inquiocupación</w:t>
      </w:r>
      <w:proofErr w:type="spellEnd"/>
      <w:r w:rsidRPr="7E940D4B">
        <w:rPr>
          <w:rFonts w:ascii="Arial" w:hAnsi="Arial" w:cs="Arial"/>
          <w:sz w:val="22"/>
          <w:szCs w:val="22"/>
          <w:lang w:val="es-ES"/>
        </w:rPr>
        <w:t xml:space="preserve">”, ampliando la protección jurídica y económica de propietarios e inquilinos ante una realidad que </w:t>
      </w:r>
      <w:r w:rsidR="5C5A073B" w:rsidRPr="7E940D4B">
        <w:rPr>
          <w:rFonts w:ascii="Arial" w:hAnsi="Arial" w:cs="Arial"/>
          <w:sz w:val="22"/>
          <w:szCs w:val="22"/>
          <w:lang w:val="es-ES"/>
        </w:rPr>
        <w:t>viene</w:t>
      </w:r>
      <w:r w:rsidRPr="7E940D4B">
        <w:rPr>
          <w:rFonts w:ascii="Arial" w:hAnsi="Arial" w:cs="Arial"/>
          <w:sz w:val="22"/>
          <w:szCs w:val="22"/>
          <w:lang w:val="es-ES"/>
        </w:rPr>
        <w:t xml:space="preserve"> ganado relevancia en los últimos años.</w:t>
      </w:r>
      <w:r w:rsidR="00BF04FC">
        <w:rPr>
          <w:rFonts w:ascii="Arial" w:hAnsi="Arial" w:cs="Arial"/>
          <w:sz w:val="22"/>
          <w:szCs w:val="22"/>
          <w:lang w:val="es-ES"/>
        </w:rPr>
        <w:t xml:space="preserve"> Las nuevas coberturas están ya disponibles para todos los clientes de BBVA Allianz y se incorporarán</w:t>
      </w:r>
      <w:r w:rsidR="005B0BAE">
        <w:rPr>
          <w:rFonts w:ascii="Arial" w:hAnsi="Arial" w:cs="Arial"/>
          <w:sz w:val="22"/>
          <w:szCs w:val="22"/>
          <w:lang w:val="es-ES"/>
        </w:rPr>
        <w:t xml:space="preserve"> el próximo 1 de junio a los condicionados de </w:t>
      </w:r>
      <w:r w:rsidR="00D40347">
        <w:rPr>
          <w:rFonts w:ascii="Arial" w:hAnsi="Arial" w:cs="Arial"/>
          <w:sz w:val="22"/>
          <w:szCs w:val="22"/>
          <w:lang w:val="es-ES"/>
        </w:rPr>
        <w:t>los clientes de Allianz Seguros.</w:t>
      </w:r>
    </w:p>
    <w:p w14:paraId="4FBCA88B" w14:textId="77777777" w:rsidR="00B827E9" w:rsidRPr="00B827E9" w:rsidRDefault="00B827E9" w:rsidP="00B827E9">
      <w:pPr>
        <w:jc w:val="both"/>
        <w:rPr>
          <w:rFonts w:ascii="Arial" w:hAnsi="Arial" w:cs="Arial"/>
          <w:b/>
          <w:bCs/>
          <w:sz w:val="22"/>
          <w:szCs w:val="22"/>
          <w:lang w:val="es-ES"/>
        </w:rPr>
      </w:pPr>
      <w:r w:rsidRPr="00B827E9">
        <w:rPr>
          <w:rFonts w:ascii="Arial" w:hAnsi="Arial" w:cs="Arial"/>
          <w:b/>
          <w:bCs/>
          <w:sz w:val="22"/>
          <w:szCs w:val="22"/>
          <w:lang w:val="es-ES"/>
        </w:rPr>
        <w:t>Respuesta integral ante la ocupación</w:t>
      </w:r>
    </w:p>
    <w:p w14:paraId="139AB225" w14:textId="77777777" w:rsidR="00B827E9" w:rsidRPr="00B827E9" w:rsidRDefault="00B827E9" w:rsidP="00B827E9">
      <w:pPr>
        <w:jc w:val="both"/>
        <w:rPr>
          <w:rFonts w:ascii="Arial" w:hAnsi="Arial" w:cs="Arial"/>
          <w:sz w:val="22"/>
          <w:szCs w:val="22"/>
          <w:lang w:val="es-ES"/>
        </w:rPr>
      </w:pPr>
      <w:r w:rsidRPr="00B827E9">
        <w:rPr>
          <w:rFonts w:ascii="Arial" w:hAnsi="Arial" w:cs="Arial"/>
          <w:sz w:val="22"/>
          <w:szCs w:val="22"/>
          <w:lang w:val="es-ES"/>
        </w:rPr>
        <w:t>La actualización contempla un conjunto de servicios que combinan asesoramiento preventivo, defensa jurídica y acompañamiento especializado. Incluye asesoramiento jurídico telefónico para resolver consultas legales relacionadas con la vivienda, asistencia urgente 24 horas en caso de ocupación y orientación inmobiliaria para proteger los intereses del asegurado desde el primer momento.</w:t>
      </w:r>
    </w:p>
    <w:p w14:paraId="30B0E59F" w14:textId="77777777" w:rsidR="00B827E9" w:rsidRPr="00B827E9" w:rsidRDefault="00B827E9" w:rsidP="00B827E9">
      <w:pPr>
        <w:jc w:val="both"/>
        <w:rPr>
          <w:rFonts w:ascii="Arial" w:hAnsi="Arial" w:cs="Arial"/>
          <w:sz w:val="22"/>
          <w:szCs w:val="22"/>
          <w:lang w:val="es-ES"/>
        </w:rPr>
      </w:pPr>
      <w:r w:rsidRPr="00B827E9">
        <w:rPr>
          <w:rFonts w:ascii="Arial" w:hAnsi="Arial" w:cs="Arial"/>
          <w:sz w:val="22"/>
          <w:szCs w:val="22"/>
          <w:lang w:val="es-ES"/>
        </w:rPr>
        <w:t>En el ámbito jurídico, la póliza cubre los procedimientos derivados de la ocupación ilegal, la “</w:t>
      </w:r>
      <w:proofErr w:type="spellStart"/>
      <w:r w:rsidRPr="00B827E9">
        <w:rPr>
          <w:rFonts w:ascii="Arial" w:hAnsi="Arial" w:cs="Arial"/>
          <w:sz w:val="22"/>
          <w:szCs w:val="22"/>
          <w:lang w:val="es-ES"/>
        </w:rPr>
        <w:t>inquiocupación</w:t>
      </w:r>
      <w:proofErr w:type="spellEnd"/>
      <w:r w:rsidRPr="00B827E9">
        <w:rPr>
          <w:rFonts w:ascii="Arial" w:hAnsi="Arial" w:cs="Arial"/>
          <w:sz w:val="22"/>
          <w:szCs w:val="22"/>
          <w:lang w:val="es-ES"/>
        </w:rPr>
        <w:t>” y los conflictos vinculados al contrato de arrendamiento. El objetivo es ofrecer una respuesta estructurada y eficaz que reduzca la incertidumbre y facilite la defensa de los derechos del asegurado desde las primeras fases del proceso.</w:t>
      </w:r>
    </w:p>
    <w:p w14:paraId="0D65D6BD" w14:textId="77777777" w:rsidR="00B827E9" w:rsidRPr="00B827E9" w:rsidRDefault="00B827E9" w:rsidP="00B827E9">
      <w:pPr>
        <w:jc w:val="both"/>
        <w:rPr>
          <w:rFonts w:ascii="Arial" w:hAnsi="Arial" w:cs="Arial"/>
          <w:b/>
          <w:bCs/>
          <w:sz w:val="22"/>
          <w:szCs w:val="22"/>
          <w:lang w:val="es-ES"/>
        </w:rPr>
      </w:pPr>
      <w:r w:rsidRPr="00B827E9">
        <w:rPr>
          <w:rFonts w:ascii="Arial" w:hAnsi="Arial" w:cs="Arial"/>
          <w:b/>
          <w:bCs/>
          <w:sz w:val="22"/>
          <w:szCs w:val="22"/>
          <w:lang w:val="es-ES"/>
        </w:rPr>
        <w:t>Protección específica frente a la “</w:t>
      </w:r>
      <w:proofErr w:type="spellStart"/>
      <w:r w:rsidRPr="00B827E9">
        <w:rPr>
          <w:rFonts w:ascii="Arial" w:hAnsi="Arial" w:cs="Arial"/>
          <w:b/>
          <w:bCs/>
          <w:sz w:val="22"/>
          <w:szCs w:val="22"/>
          <w:lang w:val="es-ES"/>
        </w:rPr>
        <w:t>inquiocupación</w:t>
      </w:r>
      <w:proofErr w:type="spellEnd"/>
      <w:r w:rsidRPr="00B827E9">
        <w:rPr>
          <w:rFonts w:ascii="Arial" w:hAnsi="Arial" w:cs="Arial"/>
          <w:b/>
          <w:bCs/>
          <w:sz w:val="22"/>
          <w:szCs w:val="22"/>
          <w:lang w:val="es-ES"/>
        </w:rPr>
        <w:t>”</w:t>
      </w:r>
    </w:p>
    <w:p w14:paraId="16EBB933" w14:textId="77777777" w:rsidR="00B827E9" w:rsidRPr="00B827E9" w:rsidRDefault="00B827E9" w:rsidP="00B827E9">
      <w:pPr>
        <w:jc w:val="both"/>
        <w:rPr>
          <w:rFonts w:ascii="Arial" w:hAnsi="Arial" w:cs="Arial"/>
          <w:sz w:val="22"/>
          <w:szCs w:val="22"/>
          <w:lang w:val="es-ES"/>
        </w:rPr>
      </w:pPr>
      <w:r w:rsidRPr="00B827E9">
        <w:rPr>
          <w:rFonts w:ascii="Arial" w:hAnsi="Arial" w:cs="Arial"/>
          <w:sz w:val="22"/>
          <w:szCs w:val="22"/>
          <w:lang w:val="es-ES"/>
        </w:rPr>
        <w:lastRenderedPageBreak/>
        <w:t>Entre las novedades destaca la cobertura frente a la “</w:t>
      </w:r>
      <w:proofErr w:type="spellStart"/>
      <w:r w:rsidRPr="00B827E9">
        <w:rPr>
          <w:rFonts w:ascii="Arial" w:hAnsi="Arial" w:cs="Arial"/>
          <w:sz w:val="22"/>
          <w:szCs w:val="22"/>
          <w:lang w:val="es-ES"/>
        </w:rPr>
        <w:t>inquiocupación</w:t>
      </w:r>
      <w:proofErr w:type="spellEnd"/>
      <w:r w:rsidRPr="00B827E9">
        <w:rPr>
          <w:rFonts w:ascii="Arial" w:hAnsi="Arial" w:cs="Arial"/>
          <w:sz w:val="22"/>
          <w:szCs w:val="22"/>
          <w:lang w:val="es-ES"/>
        </w:rPr>
        <w:t>”, entendida como la situación en la que un inquilino accede a la vivienda tras formalizar un contrato de alquiler válido y posteriormente incumple sus obligaciones dejando de pagar la primera o segunda mensualidad de renta, permaneciendo en el inmueble y oponiéndose a su devolución.</w:t>
      </w:r>
    </w:p>
    <w:p w14:paraId="6C2C9744" w14:textId="3764C81A" w:rsidR="00B827E9" w:rsidRPr="00B827E9" w:rsidRDefault="00B827E9" w:rsidP="00B827E9">
      <w:pPr>
        <w:jc w:val="both"/>
        <w:rPr>
          <w:rFonts w:ascii="Arial" w:hAnsi="Arial" w:cs="Arial"/>
          <w:sz w:val="22"/>
          <w:szCs w:val="22"/>
          <w:lang w:val="es-ES"/>
        </w:rPr>
      </w:pPr>
      <w:r w:rsidRPr="00B827E9">
        <w:rPr>
          <w:rFonts w:ascii="Arial" w:hAnsi="Arial" w:cs="Arial"/>
          <w:sz w:val="22"/>
          <w:szCs w:val="22"/>
          <w:lang w:val="es-ES"/>
        </w:rPr>
        <w:t>La incorporación de esta cobertura responde a una casuística cada vez más presente en el mercado del alquiler y refuerza la seguridad del propietario</w:t>
      </w:r>
      <w:r w:rsidR="002C0B63">
        <w:rPr>
          <w:rFonts w:ascii="Arial" w:hAnsi="Arial" w:cs="Arial"/>
          <w:sz w:val="22"/>
          <w:szCs w:val="22"/>
          <w:lang w:val="es-ES"/>
        </w:rPr>
        <w:t xml:space="preserve"> </w:t>
      </w:r>
      <w:r w:rsidR="00DD0786">
        <w:rPr>
          <w:rFonts w:ascii="Arial" w:hAnsi="Arial" w:cs="Arial"/>
          <w:sz w:val="22"/>
          <w:szCs w:val="22"/>
          <w:lang w:val="es-ES"/>
        </w:rPr>
        <w:t>a través de</w:t>
      </w:r>
      <w:r w:rsidR="002C0B63">
        <w:rPr>
          <w:rFonts w:ascii="Arial" w:hAnsi="Arial" w:cs="Arial"/>
          <w:sz w:val="22"/>
          <w:szCs w:val="22"/>
          <w:lang w:val="es-ES"/>
        </w:rPr>
        <w:t xml:space="preserve"> la</w:t>
      </w:r>
      <w:r w:rsidRPr="00B827E9">
        <w:rPr>
          <w:rFonts w:ascii="Arial" w:hAnsi="Arial" w:cs="Arial"/>
          <w:sz w:val="22"/>
          <w:szCs w:val="22"/>
          <w:lang w:val="es-ES"/>
        </w:rPr>
        <w:t xml:space="preserve"> </w:t>
      </w:r>
      <w:r w:rsidR="002C0B63" w:rsidRPr="002C0B63">
        <w:rPr>
          <w:rFonts w:ascii="Arial" w:hAnsi="Arial" w:cs="Arial"/>
          <w:sz w:val="22"/>
          <w:szCs w:val="22"/>
          <w:lang w:val="es-ES"/>
        </w:rPr>
        <w:t xml:space="preserve">defensa jurídica </w:t>
      </w:r>
      <w:r w:rsidRPr="00B827E9">
        <w:rPr>
          <w:rFonts w:ascii="Arial" w:hAnsi="Arial" w:cs="Arial"/>
          <w:sz w:val="22"/>
          <w:szCs w:val="22"/>
          <w:lang w:val="es-ES"/>
        </w:rPr>
        <w:t>ante escenarios que, aunque distintos de la ocupación ilegal clásica, generan consecuencias económicas y legales relevantes.</w:t>
      </w:r>
    </w:p>
    <w:p w14:paraId="05B3FF52" w14:textId="77777777" w:rsidR="00B827E9" w:rsidRPr="00B827E9" w:rsidRDefault="00B827E9" w:rsidP="00B827E9">
      <w:pPr>
        <w:jc w:val="both"/>
        <w:rPr>
          <w:rFonts w:ascii="Arial" w:hAnsi="Arial" w:cs="Arial"/>
          <w:b/>
          <w:bCs/>
          <w:sz w:val="22"/>
          <w:szCs w:val="22"/>
          <w:lang w:val="es-ES"/>
        </w:rPr>
      </w:pPr>
      <w:r w:rsidRPr="00B827E9">
        <w:rPr>
          <w:rFonts w:ascii="Arial" w:hAnsi="Arial" w:cs="Arial"/>
          <w:b/>
          <w:bCs/>
          <w:sz w:val="22"/>
          <w:szCs w:val="22"/>
          <w:lang w:val="es-ES"/>
        </w:rPr>
        <w:t>Apoyo económico y continuidad habitacional</w:t>
      </w:r>
    </w:p>
    <w:p w14:paraId="6556AAC1" w14:textId="77777777" w:rsidR="00B827E9" w:rsidRPr="00B827E9" w:rsidRDefault="00B827E9" w:rsidP="00B827E9">
      <w:pPr>
        <w:jc w:val="both"/>
        <w:rPr>
          <w:rFonts w:ascii="Arial" w:hAnsi="Arial" w:cs="Arial"/>
          <w:sz w:val="22"/>
          <w:szCs w:val="22"/>
          <w:lang w:val="es-ES"/>
        </w:rPr>
      </w:pPr>
      <w:r w:rsidRPr="00B827E9">
        <w:rPr>
          <w:rFonts w:ascii="Arial" w:hAnsi="Arial" w:cs="Arial"/>
          <w:sz w:val="22"/>
          <w:szCs w:val="22"/>
          <w:lang w:val="es-ES"/>
        </w:rPr>
        <w:t>Además de la defensa jurídica, la actualización incorpora medidas de protección económica orientadas a mitigar el impacto financiero que puede derivarse de estos supuestos. Entre ellas se contemplan ayudas para alojamiento temporal en caso de ocupación de la vivienda habitual, compensaciones por pérdida de alquileres en viviendas alquiladas o puestas en alquiler y cobertura de determinados gastos de suministros durante el periodo de ocupación.</w:t>
      </w:r>
    </w:p>
    <w:p w14:paraId="48E19045" w14:textId="77777777" w:rsidR="00B827E9" w:rsidRPr="00B827E9" w:rsidRDefault="00B827E9" w:rsidP="00B827E9">
      <w:pPr>
        <w:jc w:val="both"/>
        <w:rPr>
          <w:rFonts w:ascii="Arial" w:hAnsi="Arial" w:cs="Arial"/>
          <w:sz w:val="22"/>
          <w:szCs w:val="22"/>
          <w:lang w:val="es-ES"/>
        </w:rPr>
      </w:pPr>
      <w:r w:rsidRPr="00B827E9">
        <w:rPr>
          <w:rFonts w:ascii="Arial" w:hAnsi="Arial" w:cs="Arial"/>
          <w:sz w:val="22"/>
          <w:szCs w:val="22"/>
          <w:lang w:val="es-ES"/>
        </w:rPr>
        <w:t>Asimismo, la póliza contempla protección frente a daños derivados de actos vandálicos tanto en el continente como en el contenido, gastos de limpieza tras el desalojo, el cambio de cerradura y responsabilidad civil por daños a terceros que pudieran producirse durante la ocupación.</w:t>
      </w:r>
    </w:p>
    <w:p w14:paraId="10687EF6" w14:textId="77777777" w:rsidR="00B827E9" w:rsidRPr="00B827E9" w:rsidRDefault="00B827E9" w:rsidP="00B827E9">
      <w:pPr>
        <w:jc w:val="both"/>
        <w:rPr>
          <w:rFonts w:ascii="Arial" w:hAnsi="Arial" w:cs="Arial"/>
          <w:b/>
          <w:bCs/>
          <w:sz w:val="22"/>
          <w:szCs w:val="22"/>
          <w:lang w:val="es-ES"/>
        </w:rPr>
      </w:pPr>
      <w:r w:rsidRPr="00B827E9">
        <w:rPr>
          <w:rFonts w:ascii="Arial" w:hAnsi="Arial" w:cs="Arial"/>
          <w:b/>
          <w:bCs/>
          <w:sz w:val="22"/>
          <w:szCs w:val="22"/>
          <w:lang w:val="es-ES"/>
        </w:rPr>
        <w:t>Incorporación automática para clientes actuales y nuevos</w:t>
      </w:r>
    </w:p>
    <w:p w14:paraId="13DB5952" w14:textId="40F14E61" w:rsidR="00B827E9" w:rsidRDefault="00B827E9" w:rsidP="00B827E9">
      <w:pPr>
        <w:jc w:val="both"/>
        <w:rPr>
          <w:rFonts w:ascii="Arial" w:hAnsi="Arial" w:cs="Arial"/>
          <w:sz w:val="22"/>
          <w:szCs w:val="22"/>
          <w:lang w:val="es-ES"/>
        </w:rPr>
      </w:pPr>
      <w:r w:rsidRPr="00B827E9">
        <w:rPr>
          <w:rFonts w:ascii="Arial" w:hAnsi="Arial" w:cs="Arial"/>
          <w:sz w:val="22"/>
          <w:szCs w:val="22"/>
          <w:lang w:val="es-ES"/>
        </w:rPr>
        <w:t>Las nuevas coberturas se incorporarán de manera gratuita tanto en las pólizas de nueva contratación como en todas las pólizas de hogar actualmente en vigor. Los clientes en cartera recibirán una comunicación informativa específica, mientras que en las nuevas contrataciones la información se integrará en la documentación contractual correspondiente.</w:t>
      </w:r>
    </w:p>
    <w:p w14:paraId="1C254B68" w14:textId="31D06C0D" w:rsidR="00FE3810" w:rsidRPr="00B827E9" w:rsidRDefault="00FE3810" w:rsidP="00B827E9">
      <w:pPr>
        <w:jc w:val="both"/>
        <w:rPr>
          <w:rFonts w:ascii="Arial" w:hAnsi="Arial" w:cs="Arial"/>
          <w:sz w:val="22"/>
          <w:szCs w:val="22"/>
          <w:lang w:val="es-ES"/>
        </w:rPr>
      </w:pPr>
      <w:r w:rsidRPr="1248986B">
        <w:rPr>
          <w:rFonts w:ascii="Arial" w:hAnsi="Arial" w:cs="Arial"/>
          <w:sz w:val="22"/>
          <w:szCs w:val="22"/>
          <w:lang w:val="es-ES"/>
        </w:rPr>
        <w:t>La ocupación de viviendas provoca una creciente preocupación en la sociedad española, especialmente en un contexto de mayor tensión en el mercado inmobiliario. Según datos del Ministerio del Interior, en 2024 se registraron 16.426 denuncias por ocupación ilegal de viviendas, lo que supone un incremento del 7,4 % respecto a 2023 (15.289 casos). Además, en los primeros meses de 2026 ya se han registrado miles de procedimientos vinculados a usurpación y allanamiento, manteniendo una tendencia sostenida en los últimos ejercicios. Estas cifras, unidas a la complejidad jurídica y al impacto económico que puede generar una ocupación —especialmente en viviendas en alquiler—, refuerzan la necesidad de contar con soluciones aseguradoras que ofrezcan defensa jurídica especializada, apoyo económico y acompañamiento integral desde el primer momento.</w:t>
      </w:r>
    </w:p>
    <w:p w14:paraId="5DBFD21F" w14:textId="08CD442A" w:rsidR="1248986B" w:rsidRDefault="1248986B" w:rsidP="1248986B">
      <w:pPr>
        <w:spacing w:line="276" w:lineRule="auto"/>
        <w:ind w:right="206"/>
        <w:jc w:val="both"/>
        <w:rPr>
          <w:b/>
          <w:bCs/>
          <w:lang w:val="es-ES"/>
        </w:rPr>
      </w:pPr>
    </w:p>
    <w:p w14:paraId="498C7B8B" w14:textId="77777777" w:rsidR="00C71E99" w:rsidRDefault="00C71E99" w:rsidP="1248986B">
      <w:pPr>
        <w:spacing w:line="276" w:lineRule="auto"/>
        <w:ind w:right="206"/>
        <w:jc w:val="both"/>
        <w:rPr>
          <w:b/>
          <w:bCs/>
          <w:lang w:val="es-ES"/>
        </w:rPr>
      </w:pPr>
    </w:p>
    <w:p w14:paraId="0E559225" w14:textId="749D4381" w:rsidR="1248986B" w:rsidRDefault="1248986B" w:rsidP="1248986B">
      <w:pPr>
        <w:spacing w:line="276" w:lineRule="auto"/>
        <w:ind w:right="206"/>
        <w:jc w:val="both"/>
        <w:rPr>
          <w:b/>
          <w:bCs/>
          <w:lang w:val="es-ES"/>
        </w:rPr>
      </w:pPr>
    </w:p>
    <w:p w14:paraId="0072189D" w14:textId="0FEE11FB" w:rsidR="1248986B" w:rsidRDefault="1248986B" w:rsidP="1248986B">
      <w:pPr>
        <w:spacing w:line="276" w:lineRule="auto"/>
        <w:ind w:right="206"/>
        <w:jc w:val="both"/>
        <w:rPr>
          <w:b/>
          <w:bCs/>
          <w:lang w:val="es-ES"/>
        </w:rPr>
      </w:pPr>
    </w:p>
    <w:p w14:paraId="1B6A6A5B" w14:textId="06849923" w:rsidR="1248986B" w:rsidRDefault="1248986B" w:rsidP="1248986B">
      <w:pPr>
        <w:spacing w:line="276" w:lineRule="auto"/>
        <w:ind w:right="206"/>
        <w:jc w:val="both"/>
        <w:rPr>
          <w:b/>
          <w:bCs/>
          <w:lang w:val="es-ES"/>
        </w:rPr>
      </w:pPr>
    </w:p>
    <w:p w14:paraId="09126538" w14:textId="77777777" w:rsidR="00894883" w:rsidRPr="00894883" w:rsidRDefault="00894883" w:rsidP="00894883">
      <w:pPr>
        <w:spacing w:line="276" w:lineRule="auto"/>
        <w:ind w:right="206"/>
        <w:jc w:val="both"/>
        <w:rPr>
          <w:b/>
          <w:bCs/>
          <w:lang w:val="es-ES"/>
        </w:rPr>
      </w:pPr>
      <w:r w:rsidRPr="00894883">
        <w:rPr>
          <w:b/>
          <w:bCs/>
          <w:lang w:val="es-ES"/>
        </w:rPr>
        <w:lastRenderedPageBreak/>
        <w:t>Sobre Allianz Seguros</w:t>
      </w:r>
    </w:p>
    <w:p w14:paraId="21C1C586" w14:textId="77777777" w:rsidR="00894883" w:rsidRPr="00894883" w:rsidRDefault="00894883" w:rsidP="00894883">
      <w:pPr>
        <w:spacing w:line="276" w:lineRule="auto"/>
        <w:ind w:right="4"/>
        <w:jc w:val="both"/>
        <w:rPr>
          <w:lang w:val="es-ES"/>
        </w:rPr>
      </w:pPr>
      <w:r w:rsidRPr="00894883">
        <w:rPr>
          <w:lang w:val="es-ES"/>
        </w:rP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62D21091" w14:textId="77777777" w:rsidR="00894883" w:rsidRPr="00894883" w:rsidRDefault="00894883" w:rsidP="00894883">
      <w:pPr>
        <w:spacing w:line="276" w:lineRule="auto"/>
        <w:ind w:right="4"/>
        <w:jc w:val="both"/>
        <w:rPr>
          <w:lang w:val="es-ES"/>
        </w:rPr>
      </w:pPr>
      <w:r w:rsidRPr="00894883">
        <w:rPr>
          <w:lang w:val="es-ES"/>
        </w:rPr>
        <w:t xml:space="preserve">La compañía utiliza herramientas innovadoras como su aplicación para smartphones y tabletas, un área de </w:t>
      </w:r>
      <w:proofErr w:type="spellStart"/>
      <w:r w:rsidRPr="00894883">
        <w:rPr>
          <w:lang w:val="es-ES"/>
        </w:rPr>
        <w:t>eCliente</w:t>
      </w:r>
      <w:proofErr w:type="spellEnd"/>
      <w:r w:rsidRPr="00894883">
        <w:rPr>
          <w:lang w:val="es-ES"/>
        </w:rP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rsidRPr="00894883">
        <w:rPr>
          <w:lang w:val="es-ES"/>
        </w:rPr>
        <w:t>Multirriesgos</w:t>
      </w:r>
      <w:proofErr w:type="spellEnd"/>
      <w:r w:rsidRPr="00894883">
        <w:rPr>
          <w:lang w:val="es-ES"/>
        </w:rPr>
        <w:t xml:space="preserve"> para empresas y comercios, además de opciones aseguradoras personalizadas para necesidades más complejas.</w:t>
      </w:r>
    </w:p>
    <w:p w14:paraId="1F598CFC" w14:textId="36F0BBE8" w:rsidR="0049298E" w:rsidRPr="00894883" w:rsidRDefault="00894883" w:rsidP="00894883">
      <w:pPr>
        <w:ind w:right="4"/>
        <w:jc w:val="both"/>
        <w:rPr>
          <w:rFonts w:ascii="Arial" w:hAnsi="Arial" w:cs="Arial"/>
          <w:b/>
          <w:bCs/>
          <w:sz w:val="22"/>
          <w:szCs w:val="22"/>
          <w:lang w:val="es-ES"/>
        </w:rPr>
      </w:pPr>
      <w:r w:rsidRPr="00894883">
        <w:rPr>
          <w:lang w:val="es-ES"/>
        </w:rPr>
        <w:t xml:space="preserve">Como parte del Grupo Allianz, uno de los principales aseguradores y gestores de activos del mundo, Allianz Seguros se beneficia de la solidez y experiencia global del grupo, que atiende a más de 122 millones de clientes en más de 70 países. Con un enfoque en la integración de criterios ecológicos y sociales en sus procesos de negocio, Allianz se posiciona como líder en sostenibilidad en la industria aseguradora, según el Dow Jones </w:t>
      </w:r>
      <w:proofErr w:type="spellStart"/>
      <w:r w:rsidRPr="00894883">
        <w:rPr>
          <w:lang w:val="es-ES"/>
        </w:rPr>
        <w:t>Sustainability</w:t>
      </w:r>
      <w:proofErr w:type="spellEnd"/>
      <w:r w:rsidRPr="00894883">
        <w:rPr>
          <w:lang w:val="es-ES"/>
        </w:rPr>
        <w:t xml:space="preserve"> </w:t>
      </w:r>
      <w:proofErr w:type="spellStart"/>
      <w:r w:rsidRPr="00894883">
        <w:rPr>
          <w:lang w:val="es-ES"/>
        </w:rPr>
        <w:t>Index</w:t>
      </w:r>
      <w:proofErr w:type="spellEnd"/>
    </w:p>
    <w:p w14:paraId="7C2FA407" w14:textId="77777777" w:rsidR="00894883" w:rsidRDefault="00894883" w:rsidP="0049298E">
      <w:pPr>
        <w:jc w:val="both"/>
        <w:rPr>
          <w:rFonts w:ascii="Arial" w:hAnsi="Arial" w:cs="Arial"/>
          <w:b/>
          <w:bCs/>
          <w:sz w:val="22"/>
          <w:szCs w:val="22"/>
          <w:lang w:val="es-ES"/>
        </w:rPr>
      </w:pPr>
    </w:p>
    <w:p w14:paraId="7EA31923" w14:textId="4D98DBA8" w:rsidR="0049298E" w:rsidRPr="0049298E" w:rsidRDefault="0049298E" w:rsidP="0049298E">
      <w:pPr>
        <w:jc w:val="both"/>
        <w:rPr>
          <w:rFonts w:ascii="Arial" w:hAnsi="Arial" w:cs="Arial"/>
          <w:b/>
          <w:bCs/>
          <w:sz w:val="22"/>
          <w:szCs w:val="22"/>
          <w:lang w:val="es-ES"/>
        </w:rPr>
      </w:pPr>
      <w:r w:rsidRPr="0049298E">
        <w:rPr>
          <w:rFonts w:ascii="Arial" w:hAnsi="Arial" w:cs="Arial"/>
          <w:b/>
          <w:bCs/>
          <w:sz w:val="22"/>
          <w:szCs w:val="22"/>
          <w:lang w:val="es-ES"/>
        </w:rPr>
        <w:t>Sobre BBVA Allianz</w:t>
      </w:r>
    </w:p>
    <w:p w14:paraId="52084E39" w14:textId="77777777"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BBVA Allianz Seguros, la ‘</w:t>
      </w:r>
      <w:proofErr w:type="spellStart"/>
      <w:r w:rsidRPr="0049298E">
        <w:rPr>
          <w:rFonts w:ascii="Arial" w:hAnsi="Arial" w:cs="Arial"/>
          <w:sz w:val="22"/>
          <w:szCs w:val="22"/>
          <w:lang w:val="es-ES"/>
        </w:rPr>
        <w:t>joint</w:t>
      </w:r>
      <w:proofErr w:type="spellEnd"/>
      <w:r w:rsidRPr="0049298E">
        <w:rPr>
          <w:rFonts w:ascii="Arial" w:hAnsi="Arial" w:cs="Arial"/>
          <w:sz w:val="22"/>
          <w:szCs w:val="22"/>
          <w:lang w:val="es-ES"/>
        </w:rPr>
        <w:t xml:space="preserve"> venture’ de </w:t>
      </w:r>
      <w:proofErr w:type="spellStart"/>
      <w:r w:rsidRPr="0049298E">
        <w:rPr>
          <w:rFonts w:ascii="Arial" w:hAnsi="Arial" w:cs="Arial"/>
          <w:sz w:val="22"/>
          <w:szCs w:val="22"/>
          <w:lang w:val="es-ES"/>
        </w:rPr>
        <w:t>bancaseguros</w:t>
      </w:r>
      <w:proofErr w:type="spellEnd"/>
      <w:r w:rsidRPr="0049298E">
        <w:rPr>
          <w:rFonts w:ascii="Arial" w:hAnsi="Arial" w:cs="Arial"/>
          <w:sz w:val="22"/>
          <w:szCs w:val="22"/>
          <w:lang w:val="es-ES"/>
        </w:rPr>
        <w:t xml:space="preserve"> entre Allianz y BBVA, comenzó a operar en España en diciembre de 2020. La compañía aúna la capacidad de distribución en canales físicos y digitales de BBVA con el conocimiento de Allianz para desarrollar seguros de no vida simples y digitales.</w:t>
      </w:r>
    </w:p>
    <w:p w14:paraId="23ADB9F3" w14:textId="77777777"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 xml:space="preserve">BBVA Allianz Seguros es fruto de una de las mayores alianzas de </w:t>
      </w:r>
      <w:proofErr w:type="spellStart"/>
      <w:r w:rsidRPr="0049298E">
        <w:rPr>
          <w:rFonts w:ascii="Arial" w:hAnsi="Arial" w:cs="Arial"/>
          <w:sz w:val="22"/>
          <w:szCs w:val="22"/>
          <w:lang w:val="es-ES"/>
        </w:rPr>
        <w:t>bancaseguros</w:t>
      </w:r>
      <w:proofErr w:type="spellEnd"/>
      <w:r w:rsidRPr="0049298E">
        <w:rPr>
          <w:rFonts w:ascii="Arial" w:hAnsi="Arial" w:cs="Arial"/>
          <w:sz w:val="22"/>
          <w:szCs w:val="22"/>
          <w:lang w:val="es-ES"/>
        </w:rPr>
        <w:t xml:space="preserve"> en el ramo de no vida, que une a dos líderes globales con prioridades estratégicas comunes. La compañía atiende de forma exclusiva a los clientes de la entidad bancaria en España para productos de no vida (excluyendo los seguros de salud). </w:t>
      </w:r>
    </w:p>
    <w:p w14:paraId="5AC35F91" w14:textId="7C89A610" w:rsidR="0049298E" w:rsidRPr="0049298E" w:rsidRDefault="00A31BA1" w:rsidP="0049298E">
      <w:pPr>
        <w:jc w:val="both"/>
        <w:rPr>
          <w:rFonts w:ascii="Arial" w:hAnsi="Arial" w:cs="Arial"/>
          <w:sz w:val="22"/>
          <w:szCs w:val="22"/>
          <w:lang w:val="es-ES"/>
        </w:rPr>
      </w:pPr>
      <w:r>
        <w:rPr>
          <w:rFonts w:ascii="Arial" w:hAnsi="Arial" w:cs="Arial"/>
          <w:noProof/>
          <w:sz w:val="22"/>
          <w:szCs w:val="22"/>
          <w:lang w:val="es-ES"/>
        </w:rPr>
        <mc:AlternateContent>
          <mc:Choice Requires="wps">
            <w:drawing>
              <wp:anchor distT="0" distB="0" distL="114300" distR="114300" simplePos="0" relativeHeight="251658240" behindDoc="0" locked="0" layoutInCell="1" allowOverlap="1" wp14:anchorId="47B4A82D" wp14:editId="5DD0C988">
                <wp:simplePos x="0" y="0"/>
                <wp:positionH relativeFrom="column">
                  <wp:posOffset>11575</wp:posOffset>
                </wp:positionH>
                <wp:positionV relativeFrom="paragraph">
                  <wp:posOffset>106029</wp:posOffset>
                </wp:positionV>
                <wp:extent cx="5903088" cy="0"/>
                <wp:effectExtent l="0" t="0" r="0" b="0"/>
                <wp:wrapNone/>
                <wp:docPr id="22804522" name="Conector recto 1"/>
                <wp:cNvGraphicFramePr/>
                <a:graphic xmlns:a="http://schemas.openxmlformats.org/drawingml/2006/main">
                  <a:graphicData uri="http://schemas.microsoft.com/office/word/2010/wordprocessingShape">
                    <wps:wsp>
                      <wps:cNvCnPr/>
                      <wps:spPr>
                        <a:xfrm>
                          <a:off x="0" y="0"/>
                          <a:ext cx="59030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8558A"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8.35pt" to="465.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x8nAEAAJQDAAAOAAAAZHJzL2Uyb0RvYy54bWysU8tu2zAQvBfIPxC815JTtE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" strokecolor="#156082 [3204]" strokeweight=".5pt">
                <v:stroke joinstyle="miter"/>
              </v:line>
            </w:pict>
          </mc:Fallback>
        </mc:AlternateContent>
      </w:r>
    </w:p>
    <w:p w14:paraId="143611AC" w14:textId="77777777" w:rsidR="0049298E" w:rsidRPr="00A31BA1" w:rsidRDefault="0049298E" w:rsidP="0049298E">
      <w:pPr>
        <w:jc w:val="both"/>
        <w:rPr>
          <w:rFonts w:ascii="Arial" w:hAnsi="Arial" w:cs="Arial"/>
          <w:b/>
          <w:bCs/>
          <w:sz w:val="22"/>
          <w:szCs w:val="22"/>
          <w:lang w:val="es-ES"/>
        </w:rPr>
      </w:pPr>
      <w:r w:rsidRPr="00A31BA1">
        <w:rPr>
          <w:rFonts w:ascii="Arial" w:hAnsi="Arial" w:cs="Arial"/>
          <w:b/>
          <w:bCs/>
          <w:sz w:val="22"/>
          <w:szCs w:val="22"/>
          <w:lang w:val="es-ES"/>
        </w:rPr>
        <w:t>Más información para prensa:</w:t>
      </w:r>
    </w:p>
    <w:p w14:paraId="7950BEB6" w14:textId="7644D1FD"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Sonia Rodríguez</w:t>
      </w:r>
      <w:r w:rsidRPr="0049298E">
        <w:rPr>
          <w:rFonts w:ascii="Arial" w:hAnsi="Arial" w:cs="Arial"/>
          <w:sz w:val="22"/>
          <w:szCs w:val="22"/>
          <w:lang w:val="es-ES"/>
        </w:rPr>
        <w:tab/>
        <w:t xml:space="preserve">Tel. </w:t>
      </w:r>
      <w:r w:rsidR="003052DE">
        <w:rPr>
          <w:rFonts w:ascii="Arial" w:hAnsi="Arial" w:cs="Arial"/>
          <w:sz w:val="22"/>
          <w:szCs w:val="22"/>
          <w:lang w:val="es-ES"/>
        </w:rPr>
        <w:t>638</w:t>
      </w:r>
      <w:r w:rsidR="00E127CB">
        <w:rPr>
          <w:rFonts w:ascii="Arial" w:hAnsi="Arial" w:cs="Arial"/>
          <w:sz w:val="22"/>
          <w:szCs w:val="22"/>
          <w:lang w:val="es-ES"/>
        </w:rPr>
        <w:t xml:space="preserve"> </w:t>
      </w:r>
      <w:r w:rsidR="003052DE">
        <w:rPr>
          <w:rFonts w:ascii="Arial" w:hAnsi="Arial" w:cs="Arial"/>
          <w:sz w:val="22"/>
          <w:szCs w:val="22"/>
          <w:lang w:val="es-ES"/>
        </w:rPr>
        <w:t>93</w:t>
      </w:r>
      <w:r w:rsidR="00E127CB">
        <w:rPr>
          <w:rFonts w:ascii="Arial" w:hAnsi="Arial" w:cs="Arial"/>
          <w:sz w:val="22"/>
          <w:szCs w:val="22"/>
          <w:lang w:val="es-ES"/>
        </w:rPr>
        <w:t xml:space="preserve"> </w:t>
      </w:r>
      <w:r w:rsidR="003052DE">
        <w:rPr>
          <w:rFonts w:ascii="Arial" w:hAnsi="Arial" w:cs="Arial"/>
          <w:sz w:val="22"/>
          <w:szCs w:val="22"/>
          <w:lang w:val="es-ES"/>
        </w:rPr>
        <w:t>0</w:t>
      </w:r>
      <w:r w:rsidR="00E127CB">
        <w:rPr>
          <w:rFonts w:ascii="Arial" w:hAnsi="Arial" w:cs="Arial"/>
          <w:sz w:val="22"/>
          <w:szCs w:val="22"/>
          <w:lang w:val="es-ES"/>
        </w:rPr>
        <w:t xml:space="preserve"> </w:t>
      </w:r>
      <w:r w:rsidR="003052DE">
        <w:rPr>
          <w:rFonts w:ascii="Arial" w:hAnsi="Arial" w:cs="Arial"/>
          <w:sz w:val="22"/>
          <w:szCs w:val="22"/>
          <w:lang w:val="es-ES"/>
        </w:rPr>
        <w:t>008</w:t>
      </w:r>
    </w:p>
    <w:p w14:paraId="0E266171" w14:textId="77777777" w:rsidR="0049298E" w:rsidRPr="0049298E" w:rsidRDefault="0049298E" w:rsidP="0049298E">
      <w:pPr>
        <w:jc w:val="both"/>
        <w:rPr>
          <w:rFonts w:ascii="Arial" w:hAnsi="Arial" w:cs="Arial"/>
          <w:sz w:val="22"/>
          <w:szCs w:val="22"/>
          <w:lang w:val="es-ES"/>
        </w:rPr>
      </w:pPr>
    </w:p>
    <w:sectPr w:rsidR="0049298E" w:rsidRPr="0049298E" w:rsidSect="00B827E9">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E05" w14:textId="77777777" w:rsidR="00985358" w:rsidRDefault="00985358" w:rsidP="00B827E9">
      <w:pPr>
        <w:spacing w:after="0" w:line="240" w:lineRule="auto"/>
      </w:pPr>
      <w:r>
        <w:separator/>
      </w:r>
    </w:p>
  </w:endnote>
  <w:endnote w:type="continuationSeparator" w:id="0">
    <w:p w14:paraId="7D4AFDE5" w14:textId="77777777" w:rsidR="00985358" w:rsidRDefault="00985358" w:rsidP="00B827E9">
      <w:pPr>
        <w:spacing w:after="0" w:line="240" w:lineRule="auto"/>
      </w:pPr>
      <w:r>
        <w:continuationSeparator/>
      </w:r>
    </w:p>
  </w:endnote>
  <w:endnote w:type="continuationNotice" w:id="1">
    <w:p w14:paraId="7D922DC0" w14:textId="77777777" w:rsidR="00985358" w:rsidRDefault="00985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BVABentonSansLigh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55B1" w14:textId="77777777" w:rsidR="00985358" w:rsidRDefault="00985358" w:rsidP="00B827E9">
      <w:pPr>
        <w:spacing w:after="0" w:line="240" w:lineRule="auto"/>
      </w:pPr>
      <w:r>
        <w:separator/>
      </w:r>
    </w:p>
  </w:footnote>
  <w:footnote w:type="continuationSeparator" w:id="0">
    <w:p w14:paraId="10D94F0A" w14:textId="77777777" w:rsidR="00985358" w:rsidRDefault="00985358" w:rsidP="00B827E9">
      <w:pPr>
        <w:spacing w:after="0" w:line="240" w:lineRule="auto"/>
      </w:pPr>
      <w:r>
        <w:continuationSeparator/>
      </w:r>
    </w:p>
  </w:footnote>
  <w:footnote w:type="continuationNotice" w:id="1">
    <w:p w14:paraId="29836664" w14:textId="77777777" w:rsidR="00985358" w:rsidRDefault="00985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3A07" w14:textId="77777777" w:rsidR="009C689E" w:rsidRPr="00457494" w:rsidRDefault="009C689E" w:rsidP="009C689E">
    <w:pPr>
      <w:pBdr>
        <w:top w:val="nil"/>
        <w:left w:val="nil"/>
        <w:bottom w:val="nil"/>
        <w:right w:val="nil"/>
        <w:between w:val="nil"/>
      </w:pBdr>
      <w:tabs>
        <w:tab w:val="center" w:pos="4536"/>
        <w:tab w:val="right" w:pos="9072"/>
      </w:tabs>
    </w:pPr>
    <w:r w:rsidRPr="00457494">
      <w:rPr>
        <w:noProof/>
      </w:rPr>
      <w:drawing>
        <wp:inline distT="0" distB="0" distL="0" distR="0" wp14:anchorId="700B9B8C" wp14:editId="085B4CB0">
          <wp:extent cx="2886710" cy="341651"/>
          <wp:effectExtent l="0" t="0" r="8890" b="1270"/>
          <wp:docPr id="4440293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375" cy="370253"/>
                  </a:xfrm>
                  <a:prstGeom prst="rect">
                    <a:avLst/>
                  </a:prstGeom>
                  <a:noFill/>
                  <a:ln>
                    <a:noFill/>
                  </a:ln>
                </pic:spPr>
              </pic:pic>
            </a:graphicData>
          </a:graphic>
        </wp:inline>
      </w:drawing>
    </w:r>
  </w:p>
  <w:p w14:paraId="47561082" w14:textId="77777777" w:rsidR="009C689E" w:rsidRDefault="009C689E" w:rsidP="009C689E">
    <w:pPr>
      <w:pBdr>
        <w:top w:val="nil"/>
        <w:left w:val="nil"/>
        <w:bottom w:val="nil"/>
        <w:right w:val="nil"/>
        <w:between w:val="nil"/>
      </w:pBdr>
      <w:tabs>
        <w:tab w:val="center" w:pos="4536"/>
        <w:tab w:val="right" w:pos="9072"/>
      </w:tabs>
      <w:rPr>
        <w:rFonts w:ascii="BBVABentonSansLight" w:eastAsia="BBVABentonSansLight" w:hAnsi="BBVABentonSansLight" w:cs="BBVABentonSansLight"/>
        <w:color w:val="02A5A5"/>
        <w:sz w:val="32"/>
        <w:szCs w:val="32"/>
      </w:rPr>
    </w:pPr>
    <w:r>
      <w:rPr>
        <w:noProof/>
      </w:rPr>
      <mc:AlternateContent>
        <mc:Choice Requires="wps">
          <w:drawing>
            <wp:anchor distT="0" distB="0" distL="114300" distR="114300" simplePos="0" relativeHeight="251658240" behindDoc="0" locked="0" layoutInCell="1" hidden="0" allowOverlap="1" wp14:anchorId="3199B51C" wp14:editId="70C5BD59">
              <wp:simplePos x="0" y="0"/>
              <wp:positionH relativeFrom="page">
                <wp:posOffset>-4761</wp:posOffset>
              </wp:positionH>
              <wp:positionV relativeFrom="page">
                <wp:posOffset>185738</wp:posOffset>
              </wp:positionV>
              <wp:extent cx="7569835" cy="282575"/>
              <wp:effectExtent l="0" t="0" r="0" b="0"/>
              <wp:wrapNone/>
              <wp:docPr id="5" name="Rectángulo 5"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6A460BE" w14:textId="77777777" w:rsidR="009C689E" w:rsidRDefault="009C689E" w:rsidP="009C689E">
                          <w:pPr>
                            <w:jc w:val="center"/>
                            <w:textDirection w:val="btLr"/>
                          </w:pPr>
                        </w:p>
                      </w:txbxContent>
                    </wps:txbx>
                    <wps:bodyPr spcFirstLastPara="1" wrap="square" lIns="91425" tIns="0" rIns="91425" bIns="0" anchor="t" anchorCtr="0">
                      <a:noAutofit/>
                    </wps:bodyPr>
                  </wps:wsp>
                </a:graphicData>
              </a:graphic>
            </wp:anchor>
          </w:drawing>
        </mc:Choice>
        <mc:Fallback>
          <w:pict>
            <v:rect w14:anchorId="3199B51C" id="Rectángulo 5" o:spid="_x0000_s1026" alt="{&quot;HashCode&quot;:417909460,&quot;Height&quot;:841.0,&quot;Width&quot;:595.0,&quot;Placement&quot;:&quot;Header&quot;,&quot;Index&quot;:&quot;FirstPage&quot;,&quot;Section&quot;:1,&quot;Top&quot;:0.0,&quot;Left&quot;:0.0}" style="position:absolute;margin-left:-.35pt;margin-top:14.65pt;width:596.05pt;height:22.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" filled="f" stroked="f">
              <v:textbox inset="2.53958mm,0,2.53958mm,0">
                <w:txbxContent>
                  <w:p w14:paraId="26A460BE" w14:textId="77777777" w:rsidR="009C689E" w:rsidRDefault="009C689E" w:rsidP="009C689E">
                    <w:pPr>
                      <w:jc w:val="center"/>
                      <w:textDirection w:val="btLr"/>
                    </w:pPr>
                  </w:p>
                </w:txbxContent>
              </v:textbox>
              <w10:wrap anchorx="page" anchory="page"/>
            </v:rect>
          </w:pict>
        </mc:Fallback>
      </mc:AlternateContent>
    </w:r>
    <w:r>
      <w:t xml:space="preserve">                                                                                                      </w:t>
    </w:r>
    <w:r>
      <w:rPr>
        <w:rFonts w:ascii="BBVABentonSansLight" w:eastAsia="BBVABentonSansLight" w:hAnsi="BBVABentonSansLight" w:cs="BBVABentonSansLight"/>
        <w:color w:val="02A5A5"/>
        <w:sz w:val="32"/>
        <w:szCs w:val="32"/>
      </w:rPr>
      <w:t xml:space="preserve">Nota de </w:t>
    </w:r>
    <w:proofErr w:type="spellStart"/>
    <w:r>
      <w:rPr>
        <w:rFonts w:ascii="BBVABentonSansLight" w:eastAsia="BBVABentonSansLight" w:hAnsi="BBVABentonSansLight" w:cs="BBVABentonSansLight"/>
        <w:color w:val="02A5A5"/>
        <w:sz w:val="32"/>
        <w:szCs w:val="32"/>
      </w:rPr>
      <w:t>prensa</w:t>
    </w:r>
    <w:proofErr w:type="spellEnd"/>
  </w:p>
  <w:p w14:paraId="4BC42FA1" w14:textId="77777777" w:rsidR="009C689E" w:rsidRDefault="009C689E" w:rsidP="009C689E">
    <w:pPr>
      <w:jc w:val="right"/>
      <w:rPr>
        <w:rFonts w:ascii="BBVABentonSansLight" w:eastAsia="BBVABentonSansLight" w:hAnsi="BBVABentonSansLight" w:cs="BBVABentonSansLight"/>
        <w:color w:val="072146"/>
        <w:sz w:val="20"/>
        <w:szCs w:val="20"/>
      </w:rPr>
    </w:pPr>
  </w:p>
  <w:p w14:paraId="38026986" w14:textId="77777777" w:rsidR="009C689E" w:rsidRDefault="009C689E" w:rsidP="009C689E">
    <w:pPr>
      <w:jc w:val="right"/>
      <w:rPr>
        <w:rFonts w:ascii="BBVABentonSansLight" w:eastAsia="BBVABentonSansLight" w:hAnsi="BBVABentonSansLight" w:cs="BBVABentonSansLight"/>
        <w:color w:val="072146"/>
        <w:sz w:val="20"/>
        <w:szCs w:val="20"/>
      </w:rPr>
    </w:pPr>
  </w:p>
  <w:p w14:paraId="4F97079B" w14:textId="160AE881" w:rsidR="009C689E" w:rsidRDefault="00830E19" w:rsidP="009C689E">
    <w:pPr>
      <w:jc w:val="right"/>
      <w:rPr>
        <w:rFonts w:ascii="BBVABentonSansLight" w:eastAsia="BBVABentonSansLight" w:hAnsi="BBVABentonSansLight" w:cs="BBVABentonSansLight"/>
        <w:color w:val="072146"/>
        <w:sz w:val="20"/>
        <w:szCs w:val="20"/>
      </w:rPr>
    </w:pPr>
    <w:r>
      <w:rPr>
        <w:rFonts w:ascii="BBVABentonSansLight" w:eastAsia="BBVABentonSansLight" w:hAnsi="BBVABentonSansLight" w:cs="BBVABentonSansLight"/>
        <w:color w:val="072146"/>
        <w:sz w:val="20"/>
        <w:szCs w:val="20"/>
      </w:rPr>
      <w:t>2</w:t>
    </w:r>
    <w:r w:rsidR="00157997">
      <w:rPr>
        <w:rFonts w:ascii="BBVABentonSansLight" w:eastAsia="BBVABentonSansLight" w:hAnsi="BBVABentonSansLight" w:cs="BBVABentonSansLight"/>
        <w:color w:val="072146"/>
        <w:sz w:val="20"/>
        <w:szCs w:val="20"/>
      </w:rPr>
      <w:t>9</w:t>
    </w:r>
    <w:r w:rsidR="009C689E">
      <w:rPr>
        <w:rFonts w:ascii="BBVABentonSansLight" w:eastAsia="BBVABentonSansLight" w:hAnsi="BBVABentonSansLight" w:cs="BBVABentonSansLight"/>
        <w:color w:val="072146"/>
        <w:sz w:val="20"/>
        <w:szCs w:val="20"/>
      </w:rPr>
      <w:t>, 04, 2026</w:t>
    </w:r>
  </w:p>
  <w:p w14:paraId="55470938" w14:textId="77777777" w:rsidR="00B827E9" w:rsidRDefault="00B827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12F"/>
    <w:multiLevelType w:val="hybridMultilevel"/>
    <w:tmpl w:val="DCD80004"/>
    <w:lvl w:ilvl="0" w:tplc="13A0244A">
      <w:start w:val="1"/>
      <w:numFmt w:val="bullet"/>
      <w:lvlText w:val="•"/>
      <w:lvlJc w:val="left"/>
      <w:pPr>
        <w:tabs>
          <w:tab w:val="num" w:pos="720"/>
        </w:tabs>
        <w:ind w:left="720" w:hanging="360"/>
      </w:pPr>
      <w:rPr>
        <w:rFonts w:ascii="Arial" w:hAnsi="Arial" w:hint="default"/>
      </w:rPr>
    </w:lvl>
    <w:lvl w:ilvl="1" w:tplc="852C87B2" w:tentative="1">
      <w:start w:val="1"/>
      <w:numFmt w:val="bullet"/>
      <w:lvlText w:val="•"/>
      <w:lvlJc w:val="left"/>
      <w:pPr>
        <w:tabs>
          <w:tab w:val="num" w:pos="1440"/>
        </w:tabs>
        <w:ind w:left="1440" w:hanging="360"/>
      </w:pPr>
      <w:rPr>
        <w:rFonts w:ascii="Arial" w:hAnsi="Arial" w:hint="default"/>
      </w:rPr>
    </w:lvl>
    <w:lvl w:ilvl="2" w:tplc="2700B740" w:tentative="1">
      <w:start w:val="1"/>
      <w:numFmt w:val="bullet"/>
      <w:lvlText w:val="•"/>
      <w:lvlJc w:val="left"/>
      <w:pPr>
        <w:tabs>
          <w:tab w:val="num" w:pos="2160"/>
        </w:tabs>
        <w:ind w:left="2160" w:hanging="360"/>
      </w:pPr>
      <w:rPr>
        <w:rFonts w:ascii="Arial" w:hAnsi="Arial" w:hint="default"/>
      </w:rPr>
    </w:lvl>
    <w:lvl w:ilvl="3" w:tplc="979CB728" w:tentative="1">
      <w:start w:val="1"/>
      <w:numFmt w:val="bullet"/>
      <w:lvlText w:val="•"/>
      <w:lvlJc w:val="left"/>
      <w:pPr>
        <w:tabs>
          <w:tab w:val="num" w:pos="2880"/>
        </w:tabs>
        <w:ind w:left="2880" w:hanging="360"/>
      </w:pPr>
      <w:rPr>
        <w:rFonts w:ascii="Arial" w:hAnsi="Arial" w:hint="default"/>
      </w:rPr>
    </w:lvl>
    <w:lvl w:ilvl="4" w:tplc="28CED272" w:tentative="1">
      <w:start w:val="1"/>
      <w:numFmt w:val="bullet"/>
      <w:lvlText w:val="•"/>
      <w:lvlJc w:val="left"/>
      <w:pPr>
        <w:tabs>
          <w:tab w:val="num" w:pos="3600"/>
        </w:tabs>
        <w:ind w:left="3600" w:hanging="360"/>
      </w:pPr>
      <w:rPr>
        <w:rFonts w:ascii="Arial" w:hAnsi="Arial" w:hint="default"/>
      </w:rPr>
    </w:lvl>
    <w:lvl w:ilvl="5" w:tplc="199A7F9E" w:tentative="1">
      <w:start w:val="1"/>
      <w:numFmt w:val="bullet"/>
      <w:lvlText w:val="•"/>
      <w:lvlJc w:val="left"/>
      <w:pPr>
        <w:tabs>
          <w:tab w:val="num" w:pos="4320"/>
        </w:tabs>
        <w:ind w:left="4320" w:hanging="360"/>
      </w:pPr>
      <w:rPr>
        <w:rFonts w:ascii="Arial" w:hAnsi="Arial" w:hint="default"/>
      </w:rPr>
    </w:lvl>
    <w:lvl w:ilvl="6" w:tplc="3E4C4A88" w:tentative="1">
      <w:start w:val="1"/>
      <w:numFmt w:val="bullet"/>
      <w:lvlText w:val="•"/>
      <w:lvlJc w:val="left"/>
      <w:pPr>
        <w:tabs>
          <w:tab w:val="num" w:pos="5040"/>
        </w:tabs>
        <w:ind w:left="5040" w:hanging="360"/>
      </w:pPr>
      <w:rPr>
        <w:rFonts w:ascii="Arial" w:hAnsi="Arial" w:hint="default"/>
      </w:rPr>
    </w:lvl>
    <w:lvl w:ilvl="7" w:tplc="A6D8322C" w:tentative="1">
      <w:start w:val="1"/>
      <w:numFmt w:val="bullet"/>
      <w:lvlText w:val="•"/>
      <w:lvlJc w:val="left"/>
      <w:pPr>
        <w:tabs>
          <w:tab w:val="num" w:pos="5760"/>
        </w:tabs>
        <w:ind w:left="5760" w:hanging="360"/>
      </w:pPr>
      <w:rPr>
        <w:rFonts w:ascii="Arial" w:hAnsi="Arial" w:hint="default"/>
      </w:rPr>
    </w:lvl>
    <w:lvl w:ilvl="8" w:tplc="27C060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8641DF"/>
    <w:multiLevelType w:val="hybridMultilevel"/>
    <w:tmpl w:val="8BC2FAEC"/>
    <w:lvl w:ilvl="0" w:tplc="C88884A8">
      <w:start w:val="1"/>
      <w:numFmt w:val="bullet"/>
      <w:lvlText w:val="•"/>
      <w:lvlJc w:val="left"/>
      <w:pPr>
        <w:tabs>
          <w:tab w:val="num" w:pos="720"/>
        </w:tabs>
        <w:ind w:left="720" w:hanging="360"/>
      </w:pPr>
      <w:rPr>
        <w:rFonts w:ascii="Arial" w:hAnsi="Arial" w:hint="default"/>
      </w:rPr>
    </w:lvl>
    <w:lvl w:ilvl="1" w:tplc="9EBE4C28" w:tentative="1">
      <w:start w:val="1"/>
      <w:numFmt w:val="bullet"/>
      <w:lvlText w:val="•"/>
      <w:lvlJc w:val="left"/>
      <w:pPr>
        <w:tabs>
          <w:tab w:val="num" w:pos="1440"/>
        </w:tabs>
        <w:ind w:left="1440" w:hanging="360"/>
      </w:pPr>
      <w:rPr>
        <w:rFonts w:ascii="Arial" w:hAnsi="Arial" w:hint="default"/>
      </w:rPr>
    </w:lvl>
    <w:lvl w:ilvl="2" w:tplc="1F681CAC" w:tentative="1">
      <w:start w:val="1"/>
      <w:numFmt w:val="bullet"/>
      <w:lvlText w:val="•"/>
      <w:lvlJc w:val="left"/>
      <w:pPr>
        <w:tabs>
          <w:tab w:val="num" w:pos="2160"/>
        </w:tabs>
        <w:ind w:left="2160" w:hanging="360"/>
      </w:pPr>
      <w:rPr>
        <w:rFonts w:ascii="Arial" w:hAnsi="Arial" w:hint="default"/>
      </w:rPr>
    </w:lvl>
    <w:lvl w:ilvl="3" w:tplc="72C2DDBA" w:tentative="1">
      <w:start w:val="1"/>
      <w:numFmt w:val="bullet"/>
      <w:lvlText w:val="•"/>
      <w:lvlJc w:val="left"/>
      <w:pPr>
        <w:tabs>
          <w:tab w:val="num" w:pos="2880"/>
        </w:tabs>
        <w:ind w:left="2880" w:hanging="360"/>
      </w:pPr>
      <w:rPr>
        <w:rFonts w:ascii="Arial" w:hAnsi="Arial" w:hint="default"/>
      </w:rPr>
    </w:lvl>
    <w:lvl w:ilvl="4" w:tplc="DE982E68" w:tentative="1">
      <w:start w:val="1"/>
      <w:numFmt w:val="bullet"/>
      <w:lvlText w:val="•"/>
      <w:lvlJc w:val="left"/>
      <w:pPr>
        <w:tabs>
          <w:tab w:val="num" w:pos="3600"/>
        </w:tabs>
        <w:ind w:left="3600" w:hanging="360"/>
      </w:pPr>
      <w:rPr>
        <w:rFonts w:ascii="Arial" w:hAnsi="Arial" w:hint="default"/>
      </w:rPr>
    </w:lvl>
    <w:lvl w:ilvl="5" w:tplc="A176D5A8" w:tentative="1">
      <w:start w:val="1"/>
      <w:numFmt w:val="bullet"/>
      <w:lvlText w:val="•"/>
      <w:lvlJc w:val="left"/>
      <w:pPr>
        <w:tabs>
          <w:tab w:val="num" w:pos="4320"/>
        </w:tabs>
        <w:ind w:left="4320" w:hanging="360"/>
      </w:pPr>
      <w:rPr>
        <w:rFonts w:ascii="Arial" w:hAnsi="Arial" w:hint="default"/>
      </w:rPr>
    </w:lvl>
    <w:lvl w:ilvl="6" w:tplc="3A10FE2C">
      <w:numFmt w:val="bullet"/>
      <w:lvlText w:val="o"/>
      <w:lvlJc w:val="left"/>
      <w:pPr>
        <w:tabs>
          <w:tab w:val="num" w:pos="5040"/>
        </w:tabs>
        <w:ind w:left="5040" w:hanging="360"/>
      </w:pPr>
      <w:rPr>
        <w:rFonts w:ascii="Courier New" w:hAnsi="Courier New" w:hint="default"/>
      </w:rPr>
    </w:lvl>
    <w:lvl w:ilvl="7" w:tplc="934E8EBA" w:tentative="1">
      <w:start w:val="1"/>
      <w:numFmt w:val="bullet"/>
      <w:lvlText w:val="•"/>
      <w:lvlJc w:val="left"/>
      <w:pPr>
        <w:tabs>
          <w:tab w:val="num" w:pos="5760"/>
        </w:tabs>
        <w:ind w:left="5760" w:hanging="360"/>
      </w:pPr>
      <w:rPr>
        <w:rFonts w:ascii="Arial" w:hAnsi="Arial" w:hint="default"/>
      </w:rPr>
    </w:lvl>
    <w:lvl w:ilvl="8" w:tplc="F19482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EA0629"/>
    <w:multiLevelType w:val="hybridMultilevel"/>
    <w:tmpl w:val="FAFEAFCE"/>
    <w:lvl w:ilvl="0" w:tplc="260E480E">
      <w:start w:val="1"/>
      <w:numFmt w:val="bullet"/>
      <w:lvlText w:val="•"/>
      <w:lvlJc w:val="left"/>
      <w:pPr>
        <w:tabs>
          <w:tab w:val="num" w:pos="720"/>
        </w:tabs>
        <w:ind w:left="720" w:hanging="360"/>
      </w:pPr>
      <w:rPr>
        <w:rFonts w:ascii="Arial" w:hAnsi="Arial" w:hint="default"/>
      </w:rPr>
    </w:lvl>
    <w:lvl w:ilvl="1" w:tplc="CFE043DA" w:tentative="1">
      <w:start w:val="1"/>
      <w:numFmt w:val="bullet"/>
      <w:lvlText w:val="•"/>
      <w:lvlJc w:val="left"/>
      <w:pPr>
        <w:tabs>
          <w:tab w:val="num" w:pos="1440"/>
        </w:tabs>
        <w:ind w:left="1440" w:hanging="360"/>
      </w:pPr>
      <w:rPr>
        <w:rFonts w:ascii="Arial" w:hAnsi="Arial" w:hint="default"/>
      </w:rPr>
    </w:lvl>
    <w:lvl w:ilvl="2" w:tplc="5BD8E7DA" w:tentative="1">
      <w:start w:val="1"/>
      <w:numFmt w:val="bullet"/>
      <w:lvlText w:val="•"/>
      <w:lvlJc w:val="left"/>
      <w:pPr>
        <w:tabs>
          <w:tab w:val="num" w:pos="2160"/>
        </w:tabs>
        <w:ind w:left="2160" w:hanging="360"/>
      </w:pPr>
      <w:rPr>
        <w:rFonts w:ascii="Arial" w:hAnsi="Arial" w:hint="default"/>
      </w:rPr>
    </w:lvl>
    <w:lvl w:ilvl="3" w:tplc="430EFBE4" w:tentative="1">
      <w:start w:val="1"/>
      <w:numFmt w:val="bullet"/>
      <w:lvlText w:val="•"/>
      <w:lvlJc w:val="left"/>
      <w:pPr>
        <w:tabs>
          <w:tab w:val="num" w:pos="2880"/>
        </w:tabs>
        <w:ind w:left="2880" w:hanging="360"/>
      </w:pPr>
      <w:rPr>
        <w:rFonts w:ascii="Arial" w:hAnsi="Arial" w:hint="default"/>
      </w:rPr>
    </w:lvl>
    <w:lvl w:ilvl="4" w:tplc="F5FC52C0" w:tentative="1">
      <w:start w:val="1"/>
      <w:numFmt w:val="bullet"/>
      <w:lvlText w:val="•"/>
      <w:lvlJc w:val="left"/>
      <w:pPr>
        <w:tabs>
          <w:tab w:val="num" w:pos="3600"/>
        </w:tabs>
        <w:ind w:left="3600" w:hanging="360"/>
      </w:pPr>
      <w:rPr>
        <w:rFonts w:ascii="Arial" w:hAnsi="Arial" w:hint="default"/>
      </w:rPr>
    </w:lvl>
    <w:lvl w:ilvl="5" w:tplc="F252BB7A" w:tentative="1">
      <w:start w:val="1"/>
      <w:numFmt w:val="bullet"/>
      <w:lvlText w:val="•"/>
      <w:lvlJc w:val="left"/>
      <w:pPr>
        <w:tabs>
          <w:tab w:val="num" w:pos="4320"/>
        </w:tabs>
        <w:ind w:left="4320" w:hanging="360"/>
      </w:pPr>
      <w:rPr>
        <w:rFonts w:ascii="Arial" w:hAnsi="Arial" w:hint="default"/>
      </w:rPr>
    </w:lvl>
    <w:lvl w:ilvl="6" w:tplc="D9C02F66" w:tentative="1">
      <w:start w:val="1"/>
      <w:numFmt w:val="bullet"/>
      <w:lvlText w:val="•"/>
      <w:lvlJc w:val="left"/>
      <w:pPr>
        <w:tabs>
          <w:tab w:val="num" w:pos="5040"/>
        </w:tabs>
        <w:ind w:left="5040" w:hanging="360"/>
      </w:pPr>
      <w:rPr>
        <w:rFonts w:ascii="Arial" w:hAnsi="Arial" w:hint="default"/>
      </w:rPr>
    </w:lvl>
    <w:lvl w:ilvl="7" w:tplc="ABD80CF6" w:tentative="1">
      <w:start w:val="1"/>
      <w:numFmt w:val="bullet"/>
      <w:lvlText w:val="•"/>
      <w:lvlJc w:val="left"/>
      <w:pPr>
        <w:tabs>
          <w:tab w:val="num" w:pos="5760"/>
        </w:tabs>
        <w:ind w:left="5760" w:hanging="360"/>
      </w:pPr>
      <w:rPr>
        <w:rFonts w:ascii="Arial" w:hAnsi="Arial" w:hint="default"/>
      </w:rPr>
    </w:lvl>
    <w:lvl w:ilvl="8" w:tplc="981292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4240C9"/>
    <w:multiLevelType w:val="multilevel"/>
    <w:tmpl w:val="62D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872"/>
    <w:multiLevelType w:val="hybridMultilevel"/>
    <w:tmpl w:val="00B20BC6"/>
    <w:lvl w:ilvl="0" w:tplc="ECC618B8">
      <w:start w:val="1"/>
      <w:numFmt w:val="bullet"/>
      <w:lvlText w:val="•"/>
      <w:lvlJc w:val="left"/>
      <w:pPr>
        <w:tabs>
          <w:tab w:val="num" w:pos="720"/>
        </w:tabs>
        <w:ind w:left="720" w:hanging="360"/>
      </w:pPr>
      <w:rPr>
        <w:rFonts w:ascii="Arial" w:hAnsi="Arial" w:hint="default"/>
      </w:rPr>
    </w:lvl>
    <w:lvl w:ilvl="1" w:tplc="9CCCCDBA" w:tentative="1">
      <w:start w:val="1"/>
      <w:numFmt w:val="bullet"/>
      <w:lvlText w:val="•"/>
      <w:lvlJc w:val="left"/>
      <w:pPr>
        <w:tabs>
          <w:tab w:val="num" w:pos="1440"/>
        </w:tabs>
        <w:ind w:left="1440" w:hanging="360"/>
      </w:pPr>
      <w:rPr>
        <w:rFonts w:ascii="Arial" w:hAnsi="Arial" w:hint="default"/>
      </w:rPr>
    </w:lvl>
    <w:lvl w:ilvl="2" w:tplc="D5B07860" w:tentative="1">
      <w:start w:val="1"/>
      <w:numFmt w:val="bullet"/>
      <w:lvlText w:val="•"/>
      <w:lvlJc w:val="left"/>
      <w:pPr>
        <w:tabs>
          <w:tab w:val="num" w:pos="2160"/>
        </w:tabs>
        <w:ind w:left="2160" w:hanging="360"/>
      </w:pPr>
      <w:rPr>
        <w:rFonts w:ascii="Arial" w:hAnsi="Arial" w:hint="default"/>
      </w:rPr>
    </w:lvl>
    <w:lvl w:ilvl="3" w:tplc="634CB752" w:tentative="1">
      <w:start w:val="1"/>
      <w:numFmt w:val="bullet"/>
      <w:lvlText w:val="•"/>
      <w:lvlJc w:val="left"/>
      <w:pPr>
        <w:tabs>
          <w:tab w:val="num" w:pos="2880"/>
        </w:tabs>
        <w:ind w:left="2880" w:hanging="360"/>
      </w:pPr>
      <w:rPr>
        <w:rFonts w:ascii="Arial" w:hAnsi="Arial" w:hint="default"/>
      </w:rPr>
    </w:lvl>
    <w:lvl w:ilvl="4" w:tplc="76480BC4" w:tentative="1">
      <w:start w:val="1"/>
      <w:numFmt w:val="bullet"/>
      <w:lvlText w:val="•"/>
      <w:lvlJc w:val="left"/>
      <w:pPr>
        <w:tabs>
          <w:tab w:val="num" w:pos="3600"/>
        </w:tabs>
        <w:ind w:left="3600" w:hanging="360"/>
      </w:pPr>
      <w:rPr>
        <w:rFonts w:ascii="Arial" w:hAnsi="Arial" w:hint="default"/>
      </w:rPr>
    </w:lvl>
    <w:lvl w:ilvl="5" w:tplc="DEA4DA88" w:tentative="1">
      <w:start w:val="1"/>
      <w:numFmt w:val="bullet"/>
      <w:lvlText w:val="•"/>
      <w:lvlJc w:val="left"/>
      <w:pPr>
        <w:tabs>
          <w:tab w:val="num" w:pos="4320"/>
        </w:tabs>
        <w:ind w:left="4320" w:hanging="360"/>
      </w:pPr>
      <w:rPr>
        <w:rFonts w:ascii="Arial" w:hAnsi="Arial" w:hint="default"/>
      </w:rPr>
    </w:lvl>
    <w:lvl w:ilvl="6" w:tplc="0BC4D270" w:tentative="1">
      <w:start w:val="1"/>
      <w:numFmt w:val="bullet"/>
      <w:lvlText w:val="•"/>
      <w:lvlJc w:val="left"/>
      <w:pPr>
        <w:tabs>
          <w:tab w:val="num" w:pos="5040"/>
        </w:tabs>
        <w:ind w:left="5040" w:hanging="360"/>
      </w:pPr>
      <w:rPr>
        <w:rFonts w:ascii="Arial" w:hAnsi="Arial" w:hint="default"/>
      </w:rPr>
    </w:lvl>
    <w:lvl w:ilvl="7" w:tplc="99446BF0" w:tentative="1">
      <w:start w:val="1"/>
      <w:numFmt w:val="bullet"/>
      <w:lvlText w:val="•"/>
      <w:lvlJc w:val="left"/>
      <w:pPr>
        <w:tabs>
          <w:tab w:val="num" w:pos="5760"/>
        </w:tabs>
        <w:ind w:left="5760" w:hanging="360"/>
      </w:pPr>
      <w:rPr>
        <w:rFonts w:ascii="Arial" w:hAnsi="Arial" w:hint="default"/>
      </w:rPr>
    </w:lvl>
    <w:lvl w:ilvl="8" w:tplc="44E0988E" w:tentative="1">
      <w:start w:val="1"/>
      <w:numFmt w:val="bullet"/>
      <w:lvlText w:val="•"/>
      <w:lvlJc w:val="left"/>
      <w:pPr>
        <w:tabs>
          <w:tab w:val="num" w:pos="6480"/>
        </w:tabs>
        <w:ind w:left="6480" w:hanging="360"/>
      </w:pPr>
      <w:rPr>
        <w:rFonts w:ascii="Arial" w:hAnsi="Arial" w:hint="default"/>
      </w:rPr>
    </w:lvl>
  </w:abstractNum>
  <w:num w:numId="1" w16cid:durableId="309485353">
    <w:abstractNumId w:val="4"/>
  </w:num>
  <w:num w:numId="2" w16cid:durableId="143476255">
    <w:abstractNumId w:val="2"/>
  </w:num>
  <w:num w:numId="3" w16cid:durableId="1824002479">
    <w:abstractNumId w:val="1"/>
  </w:num>
  <w:num w:numId="4" w16cid:durableId="280234338">
    <w:abstractNumId w:val="0"/>
  </w:num>
  <w:num w:numId="5" w16cid:durableId="1841501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9D"/>
    <w:rsid w:val="00005B37"/>
    <w:rsid w:val="000664AA"/>
    <w:rsid w:val="00073F1C"/>
    <w:rsid w:val="001021B7"/>
    <w:rsid w:val="00112B93"/>
    <w:rsid w:val="00157997"/>
    <w:rsid w:val="001C3D56"/>
    <w:rsid w:val="001D4A09"/>
    <w:rsid w:val="00215FFF"/>
    <w:rsid w:val="00244B89"/>
    <w:rsid w:val="002C0B63"/>
    <w:rsid w:val="002C387E"/>
    <w:rsid w:val="002E377A"/>
    <w:rsid w:val="003052DE"/>
    <w:rsid w:val="003157B6"/>
    <w:rsid w:val="003567FE"/>
    <w:rsid w:val="003B5023"/>
    <w:rsid w:val="00464F37"/>
    <w:rsid w:val="0049298E"/>
    <w:rsid w:val="004B4401"/>
    <w:rsid w:val="005153AF"/>
    <w:rsid w:val="005A4B4B"/>
    <w:rsid w:val="005B0BAE"/>
    <w:rsid w:val="005B5B9F"/>
    <w:rsid w:val="005D72DE"/>
    <w:rsid w:val="00623AE2"/>
    <w:rsid w:val="00666068"/>
    <w:rsid w:val="007E2496"/>
    <w:rsid w:val="007F1237"/>
    <w:rsid w:val="00830E19"/>
    <w:rsid w:val="00894883"/>
    <w:rsid w:val="008E3DD0"/>
    <w:rsid w:val="00985358"/>
    <w:rsid w:val="009A1D83"/>
    <w:rsid w:val="009B5007"/>
    <w:rsid w:val="009C689E"/>
    <w:rsid w:val="009E2AA3"/>
    <w:rsid w:val="009F40A0"/>
    <w:rsid w:val="00A255A1"/>
    <w:rsid w:val="00A27124"/>
    <w:rsid w:val="00A31BA1"/>
    <w:rsid w:val="00A84FAF"/>
    <w:rsid w:val="00AA3F3F"/>
    <w:rsid w:val="00AD65BD"/>
    <w:rsid w:val="00B827E9"/>
    <w:rsid w:val="00B8668B"/>
    <w:rsid w:val="00BB5D77"/>
    <w:rsid w:val="00BF04FC"/>
    <w:rsid w:val="00C2357B"/>
    <w:rsid w:val="00C3029D"/>
    <w:rsid w:val="00C71E99"/>
    <w:rsid w:val="00C76074"/>
    <w:rsid w:val="00CD4ABD"/>
    <w:rsid w:val="00CE487E"/>
    <w:rsid w:val="00D2010C"/>
    <w:rsid w:val="00D40347"/>
    <w:rsid w:val="00DD0786"/>
    <w:rsid w:val="00DF2461"/>
    <w:rsid w:val="00E127CB"/>
    <w:rsid w:val="00E2319F"/>
    <w:rsid w:val="00E46030"/>
    <w:rsid w:val="00EB6CCB"/>
    <w:rsid w:val="00EE26ED"/>
    <w:rsid w:val="00F019D1"/>
    <w:rsid w:val="00F97743"/>
    <w:rsid w:val="00FE3810"/>
    <w:rsid w:val="0658DF47"/>
    <w:rsid w:val="1248986B"/>
    <w:rsid w:val="150EB5A0"/>
    <w:rsid w:val="18E06B46"/>
    <w:rsid w:val="1C1EE482"/>
    <w:rsid w:val="2C2CC042"/>
    <w:rsid w:val="3E7442A1"/>
    <w:rsid w:val="5C5A073B"/>
    <w:rsid w:val="5C7A09EC"/>
    <w:rsid w:val="671441EC"/>
    <w:rsid w:val="72213343"/>
    <w:rsid w:val="7585D8F6"/>
    <w:rsid w:val="7E94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1DF0"/>
  <w15:chartTrackingRefBased/>
  <w15:docId w15:val="{739538ED-8598-4144-A9BB-EDDFDCBB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2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2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2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2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2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2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2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2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2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2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2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2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2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2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2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29D"/>
    <w:rPr>
      <w:rFonts w:eastAsiaTheme="majorEastAsia" w:cstheme="majorBidi"/>
      <w:color w:val="272727" w:themeColor="text1" w:themeTint="D8"/>
    </w:rPr>
  </w:style>
  <w:style w:type="paragraph" w:styleId="Ttulo">
    <w:name w:val="Title"/>
    <w:basedOn w:val="Normal"/>
    <w:next w:val="Normal"/>
    <w:link w:val="TtuloCar"/>
    <w:uiPriority w:val="10"/>
    <w:qFormat/>
    <w:rsid w:val="00C30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2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2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2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29D"/>
    <w:pPr>
      <w:spacing w:before="160"/>
      <w:jc w:val="center"/>
    </w:pPr>
    <w:rPr>
      <w:i/>
      <w:iCs/>
      <w:color w:val="404040" w:themeColor="text1" w:themeTint="BF"/>
    </w:rPr>
  </w:style>
  <w:style w:type="character" w:customStyle="1" w:styleId="CitaCar">
    <w:name w:val="Cita Car"/>
    <w:basedOn w:val="Fuentedeprrafopredeter"/>
    <w:link w:val="Cita"/>
    <w:uiPriority w:val="29"/>
    <w:rsid w:val="00C3029D"/>
    <w:rPr>
      <w:i/>
      <w:iCs/>
      <w:color w:val="404040" w:themeColor="text1" w:themeTint="BF"/>
    </w:rPr>
  </w:style>
  <w:style w:type="paragraph" w:styleId="Prrafodelista">
    <w:name w:val="List Paragraph"/>
    <w:basedOn w:val="Normal"/>
    <w:uiPriority w:val="34"/>
    <w:qFormat/>
    <w:rsid w:val="00C3029D"/>
    <w:pPr>
      <w:ind w:left="720"/>
      <w:contextualSpacing/>
    </w:pPr>
  </w:style>
  <w:style w:type="character" w:styleId="nfasisintenso">
    <w:name w:val="Intense Emphasis"/>
    <w:basedOn w:val="Fuentedeprrafopredeter"/>
    <w:uiPriority w:val="21"/>
    <w:qFormat/>
    <w:rsid w:val="00C3029D"/>
    <w:rPr>
      <w:i/>
      <w:iCs/>
      <w:color w:val="0F4761" w:themeColor="accent1" w:themeShade="BF"/>
    </w:rPr>
  </w:style>
  <w:style w:type="paragraph" w:styleId="Citadestacada">
    <w:name w:val="Intense Quote"/>
    <w:basedOn w:val="Normal"/>
    <w:next w:val="Normal"/>
    <w:link w:val="CitadestacadaCar"/>
    <w:uiPriority w:val="30"/>
    <w:qFormat/>
    <w:rsid w:val="00C30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29D"/>
    <w:rPr>
      <w:i/>
      <w:iCs/>
      <w:color w:val="0F4761" w:themeColor="accent1" w:themeShade="BF"/>
    </w:rPr>
  </w:style>
  <w:style w:type="character" w:styleId="Referenciaintensa">
    <w:name w:val="Intense Reference"/>
    <w:basedOn w:val="Fuentedeprrafopredeter"/>
    <w:uiPriority w:val="32"/>
    <w:qFormat/>
    <w:rsid w:val="00C3029D"/>
    <w:rPr>
      <w:b/>
      <w:bCs/>
      <w:smallCaps/>
      <w:color w:val="0F4761" w:themeColor="accent1" w:themeShade="BF"/>
      <w:spacing w:val="5"/>
    </w:rPr>
  </w:style>
  <w:style w:type="paragraph" w:styleId="Encabezado">
    <w:name w:val="header"/>
    <w:basedOn w:val="Normal"/>
    <w:link w:val="EncabezadoCar"/>
    <w:uiPriority w:val="99"/>
    <w:unhideWhenUsed/>
    <w:rsid w:val="00B827E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27E9"/>
  </w:style>
  <w:style w:type="paragraph" w:styleId="Piedepgina">
    <w:name w:val="footer"/>
    <w:basedOn w:val="Normal"/>
    <w:link w:val="PiedepginaCar"/>
    <w:uiPriority w:val="99"/>
    <w:unhideWhenUsed/>
    <w:rsid w:val="00B827E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27E9"/>
  </w:style>
  <w:style w:type="paragraph" w:styleId="NormalWeb">
    <w:name w:val="Normal (Web)"/>
    <w:basedOn w:val="Normal"/>
    <w:uiPriority w:val="99"/>
    <w:semiHidden/>
    <w:unhideWhenUsed/>
    <w:rsid w:val="00B827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5310">
      <w:bodyDiv w:val="1"/>
      <w:marLeft w:val="0"/>
      <w:marRight w:val="0"/>
      <w:marTop w:val="0"/>
      <w:marBottom w:val="0"/>
      <w:divBdr>
        <w:top w:val="none" w:sz="0" w:space="0" w:color="auto"/>
        <w:left w:val="none" w:sz="0" w:space="0" w:color="auto"/>
        <w:bottom w:val="none" w:sz="0" w:space="0" w:color="auto"/>
        <w:right w:val="none" w:sz="0" w:space="0" w:color="auto"/>
      </w:divBdr>
      <w:divsChild>
        <w:div w:id="84111722">
          <w:marLeft w:val="274"/>
          <w:marRight w:val="0"/>
          <w:marTop w:val="0"/>
          <w:marBottom w:val="60"/>
          <w:divBdr>
            <w:top w:val="none" w:sz="0" w:space="0" w:color="auto"/>
            <w:left w:val="none" w:sz="0" w:space="0" w:color="auto"/>
            <w:bottom w:val="none" w:sz="0" w:space="0" w:color="auto"/>
            <w:right w:val="none" w:sz="0" w:space="0" w:color="auto"/>
          </w:divBdr>
        </w:div>
        <w:div w:id="1277180041">
          <w:marLeft w:val="274"/>
          <w:marRight w:val="0"/>
          <w:marTop w:val="0"/>
          <w:marBottom w:val="60"/>
          <w:divBdr>
            <w:top w:val="none" w:sz="0" w:space="0" w:color="auto"/>
            <w:left w:val="none" w:sz="0" w:space="0" w:color="auto"/>
            <w:bottom w:val="none" w:sz="0" w:space="0" w:color="auto"/>
            <w:right w:val="none" w:sz="0" w:space="0" w:color="auto"/>
          </w:divBdr>
        </w:div>
        <w:div w:id="1439838482">
          <w:marLeft w:val="274"/>
          <w:marRight w:val="0"/>
          <w:marTop w:val="0"/>
          <w:marBottom w:val="240"/>
          <w:divBdr>
            <w:top w:val="none" w:sz="0" w:space="0" w:color="auto"/>
            <w:left w:val="none" w:sz="0" w:space="0" w:color="auto"/>
            <w:bottom w:val="none" w:sz="0" w:space="0" w:color="auto"/>
            <w:right w:val="none" w:sz="0" w:space="0" w:color="auto"/>
          </w:divBdr>
        </w:div>
        <w:div w:id="1873961280">
          <w:marLeft w:val="274"/>
          <w:marRight w:val="907"/>
          <w:marTop w:val="0"/>
          <w:marBottom w:val="60"/>
          <w:divBdr>
            <w:top w:val="none" w:sz="0" w:space="0" w:color="auto"/>
            <w:left w:val="none" w:sz="0" w:space="0" w:color="auto"/>
            <w:bottom w:val="none" w:sz="0" w:space="0" w:color="auto"/>
            <w:right w:val="none" w:sz="0" w:space="0" w:color="auto"/>
          </w:divBdr>
        </w:div>
        <w:div w:id="1493452606">
          <w:marLeft w:val="274"/>
          <w:marRight w:val="907"/>
          <w:marTop w:val="0"/>
          <w:marBottom w:val="60"/>
          <w:divBdr>
            <w:top w:val="none" w:sz="0" w:space="0" w:color="auto"/>
            <w:left w:val="none" w:sz="0" w:space="0" w:color="auto"/>
            <w:bottom w:val="none" w:sz="0" w:space="0" w:color="auto"/>
            <w:right w:val="none" w:sz="0" w:space="0" w:color="auto"/>
          </w:divBdr>
        </w:div>
        <w:div w:id="1329558153">
          <w:marLeft w:val="274"/>
          <w:marRight w:val="907"/>
          <w:marTop w:val="0"/>
          <w:marBottom w:val="240"/>
          <w:divBdr>
            <w:top w:val="none" w:sz="0" w:space="0" w:color="auto"/>
            <w:left w:val="none" w:sz="0" w:space="0" w:color="auto"/>
            <w:bottom w:val="none" w:sz="0" w:space="0" w:color="auto"/>
            <w:right w:val="none" w:sz="0" w:space="0" w:color="auto"/>
          </w:divBdr>
        </w:div>
        <w:div w:id="654259532">
          <w:marLeft w:val="274"/>
          <w:marRight w:val="0"/>
          <w:marTop w:val="0"/>
          <w:marBottom w:val="0"/>
          <w:divBdr>
            <w:top w:val="none" w:sz="0" w:space="0" w:color="auto"/>
            <w:left w:val="none" w:sz="0" w:space="0" w:color="auto"/>
            <w:bottom w:val="none" w:sz="0" w:space="0" w:color="auto"/>
            <w:right w:val="none" w:sz="0" w:space="0" w:color="auto"/>
          </w:divBdr>
        </w:div>
        <w:div w:id="1490516452">
          <w:marLeft w:val="562"/>
          <w:marRight w:val="1541"/>
          <w:marTop w:val="0"/>
          <w:marBottom w:val="0"/>
          <w:divBdr>
            <w:top w:val="none" w:sz="0" w:space="0" w:color="auto"/>
            <w:left w:val="none" w:sz="0" w:space="0" w:color="auto"/>
            <w:bottom w:val="none" w:sz="0" w:space="0" w:color="auto"/>
            <w:right w:val="none" w:sz="0" w:space="0" w:color="auto"/>
          </w:divBdr>
        </w:div>
        <w:div w:id="129593941">
          <w:marLeft w:val="562"/>
          <w:marRight w:val="1541"/>
          <w:marTop w:val="0"/>
          <w:marBottom w:val="60"/>
          <w:divBdr>
            <w:top w:val="none" w:sz="0" w:space="0" w:color="auto"/>
            <w:left w:val="none" w:sz="0" w:space="0" w:color="auto"/>
            <w:bottom w:val="none" w:sz="0" w:space="0" w:color="auto"/>
            <w:right w:val="none" w:sz="0" w:space="0" w:color="auto"/>
          </w:divBdr>
        </w:div>
        <w:div w:id="675496488">
          <w:marLeft w:val="274"/>
          <w:marRight w:val="0"/>
          <w:marTop w:val="12"/>
          <w:marBottom w:val="0"/>
          <w:divBdr>
            <w:top w:val="none" w:sz="0" w:space="0" w:color="auto"/>
            <w:left w:val="none" w:sz="0" w:space="0" w:color="auto"/>
            <w:bottom w:val="none" w:sz="0" w:space="0" w:color="auto"/>
            <w:right w:val="none" w:sz="0" w:space="0" w:color="auto"/>
          </w:divBdr>
        </w:div>
        <w:div w:id="182475911">
          <w:marLeft w:val="562"/>
          <w:marRight w:val="1541"/>
          <w:marTop w:val="0"/>
          <w:marBottom w:val="0"/>
          <w:divBdr>
            <w:top w:val="none" w:sz="0" w:space="0" w:color="auto"/>
            <w:left w:val="none" w:sz="0" w:space="0" w:color="auto"/>
            <w:bottom w:val="none" w:sz="0" w:space="0" w:color="auto"/>
            <w:right w:val="none" w:sz="0" w:space="0" w:color="auto"/>
          </w:divBdr>
        </w:div>
        <w:div w:id="525293343">
          <w:marLeft w:val="562"/>
          <w:marRight w:val="1541"/>
          <w:marTop w:val="0"/>
          <w:marBottom w:val="60"/>
          <w:divBdr>
            <w:top w:val="none" w:sz="0" w:space="0" w:color="auto"/>
            <w:left w:val="none" w:sz="0" w:space="0" w:color="auto"/>
            <w:bottom w:val="none" w:sz="0" w:space="0" w:color="auto"/>
            <w:right w:val="none" w:sz="0" w:space="0" w:color="auto"/>
          </w:divBdr>
        </w:div>
        <w:div w:id="1356616573">
          <w:marLeft w:val="274"/>
          <w:marRight w:val="0"/>
          <w:marTop w:val="0"/>
          <w:marBottom w:val="0"/>
          <w:divBdr>
            <w:top w:val="none" w:sz="0" w:space="0" w:color="auto"/>
            <w:left w:val="none" w:sz="0" w:space="0" w:color="auto"/>
            <w:bottom w:val="none" w:sz="0" w:space="0" w:color="auto"/>
            <w:right w:val="none" w:sz="0" w:space="0" w:color="auto"/>
          </w:divBdr>
        </w:div>
        <w:div w:id="170607207">
          <w:marLeft w:val="274"/>
          <w:marRight w:val="2549"/>
          <w:marTop w:val="0"/>
          <w:marBottom w:val="60"/>
          <w:divBdr>
            <w:top w:val="none" w:sz="0" w:space="0" w:color="auto"/>
            <w:left w:val="none" w:sz="0" w:space="0" w:color="auto"/>
            <w:bottom w:val="none" w:sz="0" w:space="0" w:color="auto"/>
            <w:right w:val="none" w:sz="0" w:space="0" w:color="auto"/>
          </w:divBdr>
        </w:div>
        <w:div w:id="1666517696">
          <w:marLeft w:val="274"/>
          <w:marRight w:val="2549"/>
          <w:marTop w:val="0"/>
          <w:marBottom w:val="60"/>
          <w:divBdr>
            <w:top w:val="none" w:sz="0" w:space="0" w:color="auto"/>
            <w:left w:val="none" w:sz="0" w:space="0" w:color="auto"/>
            <w:bottom w:val="none" w:sz="0" w:space="0" w:color="auto"/>
            <w:right w:val="none" w:sz="0" w:space="0" w:color="auto"/>
          </w:divBdr>
        </w:div>
        <w:div w:id="828864530">
          <w:marLeft w:val="274"/>
          <w:marRight w:val="2549"/>
          <w:marTop w:val="0"/>
          <w:marBottom w:val="60"/>
          <w:divBdr>
            <w:top w:val="none" w:sz="0" w:space="0" w:color="auto"/>
            <w:left w:val="none" w:sz="0" w:space="0" w:color="auto"/>
            <w:bottom w:val="none" w:sz="0" w:space="0" w:color="auto"/>
            <w:right w:val="none" w:sz="0" w:space="0" w:color="auto"/>
          </w:divBdr>
        </w:div>
      </w:divsChild>
    </w:div>
    <w:div w:id="362899269">
      <w:bodyDiv w:val="1"/>
      <w:marLeft w:val="0"/>
      <w:marRight w:val="0"/>
      <w:marTop w:val="0"/>
      <w:marBottom w:val="0"/>
      <w:divBdr>
        <w:top w:val="none" w:sz="0" w:space="0" w:color="auto"/>
        <w:left w:val="none" w:sz="0" w:space="0" w:color="auto"/>
        <w:bottom w:val="none" w:sz="0" w:space="0" w:color="auto"/>
        <w:right w:val="none" w:sz="0" w:space="0" w:color="auto"/>
      </w:divBdr>
    </w:div>
    <w:div w:id="413938679">
      <w:bodyDiv w:val="1"/>
      <w:marLeft w:val="0"/>
      <w:marRight w:val="0"/>
      <w:marTop w:val="0"/>
      <w:marBottom w:val="0"/>
      <w:divBdr>
        <w:top w:val="none" w:sz="0" w:space="0" w:color="auto"/>
        <w:left w:val="none" w:sz="0" w:space="0" w:color="auto"/>
        <w:bottom w:val="none" w:sz="0" w:space="0" w:color="auto"/>
        <w:right w:val="none" w:sz="0" w:space="0" w:color="auto"/>
      </w:divBdr>
    </w:div>
    <w:div w:id="533689485">
      <w:bodyDiv w:val="1"/>
      <w:marLeft w:val="0"/>
      <w:marRight w:val="0"/>
      <w:marTop w:val="0"/>
      <w:marBottom w:val="0"/>
      <w:divBdr>
        <w:top w:val="none" w:sz="0" w:space="0" w:color="auto"/>
        <w:left w:val="none" w:sz="0" w:space="0" w:color="auto"/>
        <w:bottom w:val="none" w:sz="0" w:space="0" w:color="auto"/>
        <w:right w:val="none" w:sz="0" w:space="0" w:color="auto"/>
      </w:divBdr>
    </w:div>
    <w:div w:id="5705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DossierOwner xmlns="9ff07a45-11f5-479e-a441-cd98a86709fe">
      <UserInfo>
        <DisplayName/>
        <AccountId xsi:nil="true"/>
        <AccountType/>
      </UserInfo>
    </DossierOwner>
    <ContractExpirationDate xmlns="9ff07a45-11f5-479e-a441-cd98a86709fe" xsi:nil="true"/>
    <_dlc_DocId xmlns="9ff07a45-11f5-479e-a441-cd98a86709fe">XU7P7SY2DP3Q-491014520-209537</_dlc_DocId>
    <DossierStatus xmlns="9ff07a45-11f5-479e-a441-cd98a86709fe" xsi:nil="true"/>
    <ContractManagers xmlns="9ff07a45-11f5-479e-a441-cd98a86709fe">
      <UserInfo>
        <DisplayName/>
        <AccountId xsi:nil="true"/>
        <AccountType/>
      </UserInfo>
    </ContractManagers>
    <_dlc_DocIdPersistId xmlns="9ff07a45-11f5-479e-a441-cd98a86709fe" xsi:nil="true"/>
    <DocumentClass xmlns="9ff07a45-11f5-479e-a441-cd98a86709fe">Empieza por número</DocumentClass>
    <_dlc_DocIdUrl xmlns="9ff07a45-11f5-479e-a441-cd98a86709fe">
      <Url>https://allianzms.sharepoint.com/teams/ES0006-3163019/_layouts/15/DocIdRedir.aspx?ID=XU7P7SY2DP3Q-491014520-209537</Url>
      <Description>XU7P7SY2DP3Q-491014520-209537</Description>
    </_dlc_DocIdUrl>
    <MaterialContract xmlns="9ff07a45-11f5-479e-a441-cd98a86709fe" xsi:nil="true"/>
    <ContractType xmlns="9ff07a45-11f5-479e-a441-cd98a86709fe" xsi:nil="true"/>
    <TaxCatchAllLabel xmlns="9ff07a45-11f5-479e-a441-cd98a86709fe" xsi:nil="true"/>
    <ContractStatus xmlns="9ff07a45-11f5-479e-a441-cd98a86709fe">Sequía</ContractStatus>
    <ExternalContractingParties xmlns="9ff07a45-11f5-479e-a441-cd98a86709fe" xsi:nil="true"/>
    <TaxCatchAll xmlns="9ff07a45-11f5-479e-a441-cd98a86709fe" xsi:nil="true"/>
    <PlaceOfOriginal xmlns="9ff07a45-11f5-479e-a441-cd98a86709fe" xsi:nil="true"/>
    <OutsourcingAgreement xmlns="9ff07a45-11f5-479e-a441-cd98a86709fe" xsi:nil="true"/>
    <l6856d4619ce496882360609f9fc1dec xmlns="9ff07a45-11f5-479e-a441-cd98a86709fe">
      <Terms xmlns="http://schemas.microsoft.com/office/infopath/2007/PartnerControls"/>
    </l6856d4619ce496882360609f9fc1dec>
    <nd762d5e82fb490792aa88eaddbb89ea xmlns="9ff07a45-11f5-479e-a441-cd98a86709fe">
      <Terms xmlns="http://schemas.microsoft.com/office/infopath/2007/PartnerControls"/>
    </nd762d5e82fb490792aa88eaddbb89e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d3d7aa1ce60ca7f9d85bfb75e2edf0c7">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f6eed1c37449dbbe9271dd54985351d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8598A3-F1E8-4026-8E28-39CBC99F03AF}">
  <ds:schemaRefs>
    <ds:schemaRef ds:uri="http://schemas.microsoft.com/sharepoint/v3/contenttype/forms"/>
  </ds:schemaRefs>
</ds:datastoreItem>
</file>

<file path=customXml/itemProps2.xml><?xml version="1.0" encoding="utf-8"?>
<ds:datastoreItem xmlns:ds="http://schemas.openxmlformats.org/officeDocument/2006/customXml" ds:itemID="{2BB2B188-4A24-4B39-AD18-A882003A20F2}">
  <ds:schemaRefs>
    <ds:schemaRef ds:uri="http://schemas.microsoft.com/office/2006/metadata/properties"/>
    <ds:schemaRef ds:uri="http://schemas.microsoft.com/office/infopath/2007/PartnerControls"/>
    <ds:schemaRef ds:uri="9ff07a45-11f5-479e-a441-cd98a86709fe"/>
  </ds:schemaRefs>
</ds:datastoreItem>
</file>

<file path=customXml/itemProps3.xml><?xml version="1.0" encoding="utf-8"?>
<ds:datastoreItem xmlns:ds="http://schemas.openxmlformats.org/officeDocument/2006/customXml" ds:itemID="{F2BE0326-D806-4B04-9728-B9E49177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30783-EE79-4201-9480-3665E51D2F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5953</Characters>
  <Application>Microsoft Office Word</Application>
  <DocSecurity>0</DocSecurity>
  <Lines>49</Lines>
  <Paragraphs>13</Paragraphs>
  <ScaleCrop>false</ScaleCrop>
  <Company>Allianz</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 (Allianz Compania de Seguros y Reaseguros S.A.)</dc:creator>
  <cp:keywords/>
  <dc:description/>
  <cp:lastModifiedBy>Rodriguez Mosquera, Sonia (Allianz Compania de Seguros y Reaseguros S.A.)</cp:lastModifiedBy>
  <cp:revision>4</cp:revision>
  <dcterms:created xsi:type="dcterms:W3CDTF">2026-04-29T08:12:00Z</dcterms:created>
  <dcterms:modified xsi:type="dcterms:W3CDTF">2026-04-29T08:18:00Z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2026-02-27T13:16:54Z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4edc701b-b675-4d08-b350-908826471f3e</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y fmtid="{D5CDD505-2E9C-101B-9397-08002B2CF9AE}" pid="10" name="ContentTypeId">
    <vt:lpwstr>0x010100CB304FBE35F569468B297629135C7396</vt:lpwstr>
  </property>
  <property fmtid="{D5CDD505-2E9C-101B-9397-08002B2CF9AE}" pid="11" name="DossierDepartment">
    <vt:lpwstr/>
  </property>
  <property fmtid="{D5CDD505-2E9C-101B-9397-08002B2CF9AE}" pid="12" name="AllianzContractingParties">
    <vt:lpwstr/>
  </property>
  <property fmtid="{D5CDD505-2E9C-101B-9397-08002B2CF9AE}" pid="13" name="MediaServiceImageTags">
    <vt:lpwstr/>
  </property>
  <property fmtid="{D5CDD505-2E9C-101B-9397-08002B2CF9AE}" pid="14" name="Contract_Type">
    <vt:lpwstr/>
  </property>
  <property fmtid="{D5CDD505-2E9C-101B-9397-08002B2CF9AE}" pid="15" name="b0fe84444e894ab98172082a3d0e58f8">
    <vt:lpwstr/>
  </property>
  <property fmtid="{D5CDD505-2E9C-101B-9397-08002B2CF9AE}" pid="16" name="Document_Class">
    <vt:lpwstr/>
  </property>
  <property fmtid="{D5CDD505-2E9C-101B-9397-08002B2CF9AE}" pid="17" name="iccd162ff52447b49ab8f5fd8f2cec1e">
    <vt:lpwstr/>
  </property>
  <property fmtid="{D5CDD505-2E9C-101B-9397-08002B2CF9AE}" pid="18" name="lcf76f155ced4ddcb4097134ff3c332f">
    <vt:lpwstr/>
  </property>
  <property fmtid="{D5CDD505-2E9C-101B-9397-08002B2CF9AE}" pid="19" name="docLang">
    <vt:lpwstr>es</vt:lpwstr>
  </property>
  <property fmtid="{D5CDD505-2E9C-101B-9397-08002B2CF9AE}" pid="20" name="_dlc_DocIdItemGuid">
    <vt:lpwstr>2f0ab962-d4ea-49a3-8f27-eb5afdab9774</vt:lpwstr>
  </property>
</Properties>
</file>