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98D4" w14:textId="1ECE9ED0" w:rsidR="00302332" w:rsidRDefault="00302332" w:rsidP="56ADF488">
      <w:pPr>
        <w:spacing w:after="0" w:line="240" w:lineRule="auto"/>
        <w:rPr>
          <w:rFonts w:ascii="Segoe UI" w:eastAsia="Segoe UI" w:hAnsi="Segoe UI" w:cs="Segoe UI"/>
          <w:color w:val="000000" w:themeColor="text1"/>
          <w:sz w:val="28"/>
          <w:szCs w:val="28"/>
        </w:rPr>
      </w:pPr>
    </w:p>
    <w:p w14:paraId="4110F631" w14:textId="5F2A5CB0" w:rsidR="00302332" w:rsidRDefault="73BDC82A" w:rsidP="56ADF488">
      <w:pPr>
        <w:spacing w:after="0" w:line="240" w:lineRule="auto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56ADF488">
        <w:rPr>
          <w:rFonts w:ascii="Segoe UI" w:eastAsia="Segoe UI" w:hAnsi="Segoe UI" w:cs="Segoe UI"/>
          <w:color w:val="000000" w:themeColor="text1"/>
          <w:sz w:val="28"/>
          <w:szCs w:val="28"/>
        </w:rPr>
        <w:t>Allianz Seguros</w:t>
      </w:r>
    </w:p>
    <w:p w14:paraId="509640FC" w14:textId="713302E0" w:rsidR="00302332" w:rsidRDefault="00302332" w:rsidP="56ADF488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 w:themeColor="text1"/>
          <w:sz w:val="12"/>
          <w:szCs w:val="12"/>
        </w:rPr>
      </w:pPr>
    </w:p>
    <w:p w14:paraId="6EC7C8C3" w14:textId="0BE5F671" w:rsidR="00302332" w:rsidRDefault="73BDC82A" w:rsidP="56ADF488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6ADF488">
        <w:rPr>
          <w:rFonts w:ascii="Arial" w:eastAsia="Arial" w:hAnsi="Arial" w:cs="Arial"/>
          <w:color w:val="000000" w:themeColor="text1"/>
          <w:sz w:val="20"/>
          <w:szCs w:val="20"/>
        </w:rPr>
        <w:t>Comunicación Corporativa</w:t>
      </w:r>
    </w:p>
    <w:p w14:paraId="346EF966" w14:textId="18369783" w:rsidR="00302332" w:rsidRDefault="00302332" w:rsidP="56ADF488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 w:themeColor="text1"/>
          <w:sz w:val="40"/>
          <w:szCs w:val="40"/>
        </w:rPr>
      </w:pPr>
    </w:p>
    <w:p w14:paraId="02F9B323" w14:textId="3F0A2219" w:rsidR="00302332" w:rsidRDefault="73BDC82A" w:rsidP="56ADF488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7F7F7F" w:themeColor="text1" w:themeTint="80"/>
          <w:sz w:val="44"/>
          <w:szCs w:val="44"/>
        </w:rPr>
      </w:pPr>
      <w:r w:rsidRPr="56ADF488">
        <w:rPr>
          <w:rFonts w:ascii="Arial" w:eastAsia="Arial" w:hAnsi="Arial" w:cs="Arial"/>
          <w:color w:val="7F7F7F" w:themeColor="text1" w:themeTint="80"/>
          <w:sz w:val="44"/>
          <w:szCs w:val="44"/>
        </w:rPr>
        <w:t>Nota de Prensa</w:t>
      </w:r>
    </w:p>
    <w:p w14:paraId="262A4D86" w14:textId="5DB398FC" w:rsidR="00302332" w:rsidRPr="009C2416" w:rsidRDefault="00302332" w:rsidP="56ADF488">
      <w:pPr>
        <w:spacing w:after="0" w:line="240" w:lineRule="auto"/>
        <w:ind w:firstLine="708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27E9A367" w14:textId="528FC6BD" w:rsidR="00302332" w:rsidRDefault="00302332" w:rsidP="56ADF488">
      <w:pPr>
        <w:spacing w:after="0" w:line="240" w:lineRule="auto"/>
        <w:ind w:left="540" w:right="283" w:hanging="682"/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</w:p>
    <w:p w14:paraId="529D045F" w14:textId="77777777" w:rsidR="001E230F" w:rsidRPr="00AA673E" w:rsidRDefault="001E230F" w:rsidP="001E230F">
      <w:pPr>
        <w:spacing w:after="0" w:line="240" w:lineRule="auto"/>
        <w:ind w:left="540" w:right="283" w:hanging="682"/>
        <w:jc w:val="center"/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en-US"/>
        </w:rPr>
      </w:pPr>
      <w:r w:rsidRPr="00AA673E"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en-US"/>
        </w:rPr>
        <w:t xml:space="preserve">Allianz se </w:t>
      </w:r>
      <w:proofErr w:type="spellStart"/>
      <w:r w:rsidRPr="00AA673E"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en-US"/>
        </w:rPr>
        <w:t>suma</w:t>
      </w:r>
      <w:proofErr w:type="spellEnd"/>
      <w:r w:rsidRPr="00AA673E"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en-US"/>
        </w:rPr>
        <w:t xml:space="preserve"> a los </w:t>
      </w:r>
      <w:proofErr w:type="spellStart"/>
      <w:r w:rsidRPr="00AA673E"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en-US"/>
        </w:rPr>
        <w:t>programas</w:t>
      </w:r>
      <w:proofErr w:type="spellEnd"/>
      <w:r w:rsidRPr="00AA673E"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en-US"/>
        </w:rPr>
        <w:t xml:space="preserve"> Empowering Women’s Talent y Diversity Leading Company </w:t>
      </w:r>
    </w:p>
    <w:p w14:paraId="2E93FEF9" w14:textId="5D945AFA" w:rsidR="00302332" w:rsidRPr="00FF15FB" w:rsidRDefault="00302332" w:rsidP="00AA673E">
      <w:pPr>
        <w:spacing w:after="0" w:line="240" w:lineRule="auto"/>
        <w:ind w:left="540" w:right="944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38F6FEDA" w14:textId="22E231E0" w:rsidR="009003E1" w:rsidRPr="001976BB" w:rsidRDefault="009003E1" w:rsidP="001E230F">
      <w:pPr>
        <w:pStyle w:val="Prrafodelista"/>
        <w:numPr>
          <w:ilvl w:val="0"/>
          <w:numId w:val="1"/>
        </w:numPr>
        <w:spacing w:after="0" w:line="360" w:lineRule="auto"/>
        <w:ind w:right="566"/>
        <w:jc w:val="both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</w:pPr>
      <w:r w:rsidRPr="001E230F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La compañía </w:t>
      </w:r>
      <w:r w:rsidR="001E230F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refuerza </w:t>
      </w:r>
      <w:r w:rsidR="001E230F" w:rsidRPr="001E230F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su compromiso con el talento femenino, la diversidad y la inclusión</w:t>
      </w:r>
    </w:p>
    <w:p w14:paraId="12C248BC" w14:textId="4A747706" w:rsidR="009C2416" w:rsidRPr="009C2416" w:rsidRDefault="009C2416" w:rsidP="56ADF488">
      <w:pPr>
        <w:pStyle w:val="Prrafodelista"/>
        <w:numPr>
          <w:ilvl w:val="0"/>
          <w:numId w:val="1"/>
        </w:numPr>
        <w:spacing w:after="0" w:line="360" w:lineRule="auto"/>
        <w:ind w:right="566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Allianz dispone ya del sello que acredita</w:t>
      </w:r>
      <w:r w:rsidRPr="009C241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su apuesta por el desarrollo del liderazgo y el talento femenino</w:t>
      </w:r>
    </w:p>
    <w:p w14:paraId="13326C6C" w14:textId="7A6EF492" w:rsidR="009C2416" w:rsidRPr="009C2416" w:rsidRDefault="009C2416" w:rsidP="56ADF488">
      <w:pPr>
        <w:pStyle w:val="Prrafodelista"/>
        <w:numPr>
          <w:ilvl w:val="0"/>
          <w:numId w:val="1"/>
        </w:numPr>
        <w:spacing w:after="0" w:line="360" w:lineRule="auto"/>
        <w:ind w:right="566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C241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Allianz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colabora además</w:t>
      </w:r>
      <w:r w:rsidRPr="009C241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con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entidades</w:t>
      </w:r>
      <w:r w:rsidRPr="009C241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como REDI (LGTBIQ+), Fundación Diversidad, Equipos y Talento, </w:t>
      </w:r>
      <w:proofErr w:type="spellStart"/>
      <w:r w:rsidRPr="009C241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CEO’s</w:t>
      </w:r>
      <w:proofErr w:type="spellEnd"/>
      <w:r w:rsidRPr="009C241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por la diversidad o EDGE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, entre otras</w:t>
      </w:r>
    </w:p>
    <w:p w14:paraId="7ADF9F89" w14:textId="52FBE121" w:rsidR="00302332" w:rsidRDefault="00302332" w:rsidP="009C2416">
      <w:pPr>
        <w:pStyle w:val="Prrafodelista"/>
        <w:spacing w:after="0" w:line="360" w:lineRule="auto"/>
        <w:ind w:right="566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0B99750" w14:textId="075B2971" w:rsidR="001E230F" w:rsidRDefault="73BDC82A" w:rsidP="001E230F">
      <w:pPr>
        <w:spacing w:after="0" w:line="276" w:lineRule="auto"/>
        <w:ind w:right="425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b/>
          <w:bCs/>
          <w:color w:val="000000" w:themeColor="text1"/>
        </w:rPr>
        <w:t xml:space="preserve">Madrid, </w:t>
      </w:r>
      <w:r w:rsidR="008210DB">
        <w:rPr>
          <w:rFonts w:ascii="Arial" w:eastAsia="Arial" w:hAnsi="Arial" w:cs="Arial"/>
          <w:b/>
          <w:bCs/>
          <w:color w:val="000000" w:themeColor="text1"/>
        </w:rPr>
        <w:t xml:space="preserve">7 </w:t>
      </w:r>
      <w:r w:rsidRPr="56ADF488">
        <w:rPr>
          <w:rFonts w:ascii="Arial" w:eastAsia="Arial" w:hAnsi="Arial" w:cs="Arial"/>
          <w:b/>
          <w:bCs/>
          <w:color w:val="000000" w:themeColor="text1"/>
        </w:rPr>
        <w:t xml:space="preserve">de </w:t>
      </w:r>
      <w:r w:rsidR="008210DB">
        <w:rPr>
          <w:rFonts w:ascii="Arial" w:eastAsia="Arial" w:hAnsi="Arial" w:cs="Arial"/>
          <w:b/>
          <w:bCs/>
          <w:color w:val="000000" w:themeColor="text1"/>
        </w:rPr>
        <w:t>febrero</w:t>
      </w:r>
      <w:r w:rsidRPr="56ADF488">
        <w:rPr>
          <w:rFonts w:ascii="Arial" w:eastAsia="Arial" w:hAnsi="Arial" w:cs="Arial"/>
          <w:b/>
          <w:bCs/>
          <w:color w:val="000000" w:themeColor="text1"/>
        </w:rPr>
        <w:t xml:space="preserve"> de 202</w:t>
      </w:r>
      <w:r w:rsidR="00D57CE6">
        <w:rPr>
          <w:rFonts w:ascii="Arial" w:eastAsia="Arial" w:hAnsi="Arial" w:cs="Arial"/>
          <w:b/>
          <w:bCs/>
          <w:color w:val="000000" w:themeColor="text1"/>
        </w:rPr>
        <w:t>4</w:t>
      </w:r>
      <w:r w:rsidRPr="56ADF488">
        <w:rPr>
          <w:rFonts w:ascii="Arial" w:eastAsia="Arial" w:hAnsi="Arial" w:cs="Arial"/>
          <w:b/>
          <w:bCs/>
          <w:color w:val="000000" w:themeColor="text1"/>
        </w:rPr>
        <w:t>.-</w:t>
      </w:r>
      <w:r w:rsidRPr="56ADF488">
        <w:rPr>
          <w:rFonts w:ascii="Arial" w:eastAsia="Arial" w:hAnsi="Arial" w:cs="Arial"/>
          <w:color w:val="000000" w:themeColor="text1"/>
        </w:rPr>
        <w:t xml:space="preserve"> Allianz Seguros </w:t>
      </w:r>
      <w:r w:rsidR="0CD2F80C" w:rsidRPr="56ADF488">
        <w:rPr>
          <w:rFonts w:ascii="Arial" w:eastAsia="Arial" w:hAnsi="Arial" w:cs="Arial"/>
          <w:color w:val="000000" w:themeColor="text1"/>
        </w:rPr>
        <w:t xml:space="preserve">se </w:t>
      </w:r>
      <w:r w:rsidR="001E230F">
        <w:rPr>
          <w:rFonts w:ascii="Arial" w:eastAsia="Arial" w:hAnsi="Arial" w:cs="Arial"/>
          <w:color w:val="000000" w:themeColor="text1"/>
        </w:rPr>
        <w:t xml:space="preserve">une a </w:t>
      </w:r>
      <w:proofErr w:type="spellStart"/>
      <w:r w:rsidR="001E230F" w:rsidRPr="001E230F">
        <w:rPr>
          <w:rFonts w:ascii="Arial" w:eastAsia="Arial" w:hAnsi="Arial" w:cs="Arial"/>
          <w:color w:val="000000" w:themeColor="text1"/>
        </w:rPr>
        <w:t>Empowering</w:t>
      </w:r>
      <w:proofErr w:type="spellEnd"/>
      <w:r w:rsidR="001E230F" w:rsidRPr="001E230F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1E230F" w:rsidRPr="001E230F">
        <w:rPr>
          <w:rFonts w:ascii="Arial" w:eastAsia="Arial" w:hAnsi="Arial" w:cs="Arial"/>
          <w:color w:val="000000" w:themeColor="text1"/>
        </w:rPr>
        <w:t>Women’s</w:t>
      </w:r>
      <w:proofErr w:type="spellEnd"/>
      <w:r w:rsidR="001E230F" w:rsidRPr="001E230F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proofErr w:type="gramStart"/>
      <w:r w:rsidR="001E230F" w:rsidRPr="001E230F">
        <w:rPr>
          <w:rFonts w:ascii="Arial" w:eastAsia="Arial" w:hAnsi="Arial" w:cs="Arial"/>
          <w:color w:val="000000" w:themeColor="text1"/>
        </w:rPr>
        <w:t>Talent</w:t>
      </w:r>
      <w:proofErr w:type="spellEnd"/>
      <w:r w:rsidR="001E230F">
        <w:rPr>
          <w:rFonts w:ascii="Arial" w:eastAsia="Arial" w:hAnsi="Arial" w:cs="Arial"/>
          <w:color w:val="000000" w:themeColor="text1"/>
        </w:rPr>
        <w:t xml:space="preserve">, </w:t>
      </w:r>
      <w:r w:rsidR="001E230F" w:rsidRPr="001E230F">
        <w:rPr>
          <w:rFonts w:ascii="Arial" w:eastAsia="Arial" w:hAnsi="Arial" w:cs="Arial"/>
          <w:color w:val="000000" w:themeColor="text1"/>
        </w:rPr>
        <w:t xml:space="preserve"> </w:t>
      </w:r>
      <w:r w:rsidR="001E230F">
        <w:rPr>
          <w:rFonts w:ascii="Arial" w:eastAsia="Arial" w:hAnsi="Arial" w:cs="Arial"/>
          <w:color w:val="000000" w:themeColor="text1"/>
        </w:rPr>
        <w:t>un</w:t>
      </w:r>
      <w:proofErr w:type="gramEnd"/>
      <w:r w:rsidR="001E230F" w:rsidRPr="001E230F">
        <w:rPr>
          <w:rFonts w:ascii="Arial" w:eastAsia="Arial" w:hAnsi="Arial" w:cs="Arial"/>
          <w:color w:val="000000" w:themeColor="text1"/>
        </w:rPr>
        <w:t xml:space="preserve"> programa de desarrollo del talento enfocado en el empoderamiento de las mujeres en las compañías, que </w:t>
      </w:r>
      <w:r w:rsidR="001E230F">
        <w:rPr>
          <w:rFonts w:ascii="Arial" w:eastAsia="Arial" w:hAnsi="Arial" w:cs="Arial"/>
          <w:color w:val="000000" w:themeColor="text1"/>
        </w:rPr>
        <w:t xml:space="preserve">contribuye al </w:t>
      </w:r>
      <w:r w:rsidR="00AA673E">
        <w:rPr>
          <w:rFonts w:ascii="Arial" w:eastAsia="Arial" w:hAnsi="Arial" w:cs="Arial"/>
          <w:color w:val="000000" w:themeColor="text1"/>
        </w:rPr>
        <w:t xml:space="preserve">aprendizaje y la comunicación </w:t>
      </w:r>
      <w:r w:rsidR="001E230F" w:rsidRPr="001E230F">
        <w:rPr>
          <w:rFonts w:ascii="Arial" w:eastAsia="Arial" w:hAnsi="Arial" w:cs="Arial"/>
          <w:color w:val="000000" w:themeColor="text1"/>
        </w:rPr>
        <w:t xml:space="preserve">sobre la diversidad de género. </w:t>
      </w:r>
      <w:r w:rsidR="00AA673E">
        <w:rPr>
          <w:rFonts w:ascii="Arial" w:eastAsia="Arial" w:hAnsi="Arial" w:cs="Arial"/>
          <w:color w:val="000000" w:themeColor="text1"/>
        </w:rPr>
        <w:t xml:space="preserve">La compañía ha recibido </w:t>
      </w:r>
      <w:r w:rsidR="001E230F" w:rsidRPr="001E230F">
        <w:rPr>
          <w:rFonts w:ascii="Arial" w:eastAsia="Arial" w:hAnsi="Arial" w:cs="Arial"/>
          <w:color w:val="000000" w:themeColor="text1"/>
        </w:rPr>
        <w:t xml:space="preserve">el sello de reconocimiento como Empresa Adherida al programa </w:t>
      </w:r>
      <w:proofErr w:type="spellStart"/>
      <w:r w:rsidR="001E230F" w:rsidRPr="001E230F">
        <w:rPr>
          <w:rFonts w:ascii="Arial" w:eastAsia="Arial" w:hAnsi="Arial" w:cs="Arial"/>
          <w:color w:val="000000" w:themeColor="text1"/>
        </w:rPr>
        <w:t>Empowering</w:t>
      </w:r>
      <w:proofErr w:type="spellEnd"/>
      <w:r w:rsidR="001E230F" w:rsidRPr="001E230F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1E230F" w:rsidRPr="001E230F">
        <w:rPr>
          <w:rFonts w:ascii="Arial" w:eastAsia="Arial" w:hAnsi="Arial" w:cs="Arial"/>
          <w:color w:val="000000" w:themeColor="text1"/>
        </w:rPr>
        <w:t>Women's</w:t>
      </w:r>
      <w:proofErr w:type="spellEnd"/>
      <w:r w:rsidR="001E230F" w:rsidRPr="001E230F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1E230F" w:rsidRPr="001E230F">
        <w:rPr>
          <w:rFonts w:ascii="Arial" w:eastAsia="Arial" w:hAnsi="Arial" w:cs="Arial"/>
          <w:color w:val="000000" w:themeColor="text1"/>
        </w:rPr>
        <w:t>Talent</w:t>
      </w:r>
      <w:proofErr w:type="spellEnd"/>
      <w:r w:rsidR="001E230F" w:rsidRPr="001E230F">
        <w:rPr>
          <w:rFonts w:ascii="Arial" w:eastAsia="Arial" w:hAnsi="Arial" w:cs="Arial"/>
          <w:color w:val="000000" w:themeColor="text1"/>
        </w:rPr>
        <w:t xml:space="preserve">, </w:t>
      </w:r>
      <w:r w:rsidR="00AA673E">
        <w:rPr>
          <w:rFonts w:ascii="Arial" w:eastAsia="Arial" w:hAnsi="Arial" w:cs="Arial"/>
          <w:color w:val="000000" w:themeColor="text1"/>
        </w:rPr>
        <w:t xml:space="preserve">como símbolo de su apuesta por </w:t>
      </w:r>
      <w:r w:rsidR="001E230F" w:rsidRPr="001E230F">
        <w:rPr>
          <w:rFonts w:ascii="Arial" w:eastAsia="Arial" w:hAnsi="Arial" w:cs="Arial"/>
          <w:color w:val="000000" w:themeColor="text1"/>
        </w:rPr>
        <w:t xml:space="preserve">el desarrollo del liderazgo y el talento femenino. Además, se </w:t>
      </w:r>
      <w:r w:rsidR="00AA673E">
        <w:rPr>
          <w:rFonts w:ascii="Arial" w:eastAsia="Arial" w:hAnsi="Arial" w:cs="Arial"/>
          <w:color w:val="000000" w:themeColor="text1"/>
        </w:rPr>
        <w:t>adhiere</w:t>
      </w:r>
      <w:r w:rsidR="001E230F" w:rsidRPr="001E230F">
        <w:rPr>
          <w:rFonts w:ascii="Arial" w:eastAsia="Arial" w:hAnsi="Arial" w:cs="Arial"/>
          <w:color w:val="000000" w:themeColor="text1"/>
        </w:rPr>
        <w:t xml:space="preserve"> al programa </w:t>
      </w:r>
      <w:proofErr w:type="spellStart"/>
      <w:r w:rsidR="001E230F" w:rsidRPr="001E230F">
        <w:rPr>
          <w:rFonts w:ascii="Arial" w:eastAsia="Arial" w:hAnsi="Arial" w:cs="Arial"/>
          <w:color w:val="000000" w:themeColor="text1"/>
        </w:rPr>
        <w:t>Diversity</w:t>
      </w:r>
      <w:proofErr w:type="spellEnd"/>
      <w:r w:rsidR="001E230F" w:rsidRPr="001E230F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1E230F" w:rsidRPr="001E230F">
        <w:rPr>
          <w:rFonts w:ascii="Arial" w:eastAsia="Arial" w:hAnsi="Arial" w:cs="Arial"/>
          <w:color w:val="000000" w:themeColor="text1"/>
        </w:rPr>
        <w:t>Leading</w:t>
      </w:r>
      <w:proofErr w:type="spellEnd"/>
      <w:r w:rsidR="001E230F" w:rsidRPr="001E230F">
        <w:rPr>
          <w:rFonts w:ascii="Arial" w:eastAsia="Arial" w:hAnsi="Arial" w:cs="Arial"/>
          <w:color w:val="000000" w:themeColor="text1"/>
        </w:rPr>
        <w:t xml:space="preserve"> Company</w:t>
      </w:r>
      <w:r w:rsidR="00AA673E">
        <w:rPr>
          <w:rFonts w:ascii="Arial" w:eastAsia="Arial" w:hAnsi="Arial" w:cs="Arial"/>
          <w:color w:val="000000" w:themeColor="text1"/>
        </w:rPr>
        <w:t>,</w:t>
      </w:r>
      <w:r w:rsidR="001E230F" w:rsidRPr="001E230F">
        <w:rPr>
          <w:rFonts w:ascii="Arial" w:eastAsia="Arial" w:hAnsi="Arial" w:cs="Arial"/>
          <w:color w:val="000000" w:themeColor="text1"/>
        </w:rPr>
        <w:t xml:space="preserve"> que contribuirá a mejorar la gestión de la diversidad y la inclusión dentro de </w:t>
      </w:r>
      <w:r w:rsidR="00AA673E">
        <w:rPr>
          <w:rFonts w:ascii="Arial" w:eastAsia="Arial" w:hAnsi="Arial" w:cs="Arial"/>
          <w:color w:val="000000" w:themeColor="text1"/>
        </w:rPr>
        <w:t>los</w:t>
      </w:r>
      <w:r w:rsidR="001E230F" w:rsidRPr="001E230F">
        <w:rPr>
          <w:rFonts w:ascii="Arial" w:eastAsia="Arial" w:hAnsi="Arial" w:cs="Arial"/>
          <w:color w:val="000000" w:themeColor="text1"/>
        </w:rPr>
        <w:t xml:space="preserve"> equipos.</w:t>
      </w:r>
    </w:p>
    <w:p w14:paraId="5F75A2A4" w14:textId="77777777" w:rsidR="00AA673E" w:rsidRDefault="00AA673E" w:rsidP="001E230F">
      <w:pPr>
        <w:spacing w:after="0" w:line="276" w:lineRule="auto"/>
        <w:ind w:right="425"/>
        <w:jc w:val="both"/>
        <w:rPr>
          <w:rFonts w:ascii="Arial" w:eastAsia="Arial" w:hAnsi="Arial" w:cs="Arial"/>
          <w:color w:val="000000" w:themeColor="text1"/>
        </w:rPr>
      </w:pPr>
    </w:p>
    <w:p w14:paraId="69E175A7" w14:textId="7EA4ADEE" w:rsidR="00D400DD" w:rsidRPr="00E24E73" w:rsidRDefault="00E24E73" w:rsidP="00D400DD">
      <w:pPr>
        <w:spacing w:after="0" w:line="276" w:lineRule="auto"/>
        <w:ind w:right="379"/>
        <w:jc w:val="both"/>
        <w:rPr>
          <w:rFonts w:ascii="Arial" w:hAnsi="Arial" w:cs="Arial"/>
        </w:rPr>
      </w:pPr>
      <w:bookmarkStart w:id="0" w:name="_Hlk158116462"/>
      <w:r w:rsidRPr="00E24E73">
        <w:rPr>
          <w:rFonts w:ascii="Arial" w:hAnsi="Arial" w:cs="Arial"/>
          <w:i/>
          <w:iCs/>
        </w:rPr>
        <w:t xml:space="preserve">Sin duda, estamos orgullosos de los logros y avances que hemos conseguido pero somos también conscientes de que tenemos todavía camino por recorrer y seguimos trabajando con determinación para incrementar el porcentaje de mujeres en posiciones de liderazgo apoyados en el gran potencial y perfiles con los que contamos, potenciar el equilibrio y entre el talento senior y el talento joven y ser ambiciosos con el porcentaje de personas con capacidades diferentes en nuestro equipo”, </w:t>
      </w:r>
      <w:bookmarkEnd w:id="0"/>
      <w:r w:rsidRPr="00FF15FB">
        <w:rPr>
          <w:rFonts w:ascii="Arial" w:hAnsi="Arial" w:cs="Arial"/>
        </w:rPr>
        <w:t xml:space="preserve">señala Catalina Guevara, Directora de </w:t>
      </w:r>
      <w:proofErr w:type="spellStart"/>
      <w:r w:rsidRPr="00FF15FB">
        <w:rPr>
          <w:rFonts w:ascii="Arial" w:hAnsi="Arial" w:cs="Arial"/>
        </w:rPr>
        <w:t>People&amp;Culture</w:t>
      </w:r>
      <w:proofErr w:type="spellEnd"/>
      <w:r w:rsidRPr="00FF15FB">
        <w:rPr>
          <w:rFonts w:ascii="Arial" w:hAnsi="Arial" w:cs="Arial"/>
        </w:rPr>
        <w:t xml:space="preserve"> de Allianz.</w:t>
      </w:r>
      <w:r w:rsidR="00D400DD" w:rsidRPr="00FF15FB">
        <w:rPr>
          <w:rFonts w:ascii="Arial" w:hAnsi="Arial" w:cs="Arial"/>
        </w:rPr>
        <w:t>”,</w:t>
      </w:r>
      <w:r w:rsidR="00D400DD" w:rsidRPr="00E24E73">
        <w:rPr>
          <w:rFonts w:ascii="Arial" w:hAnsi="Arial" w:cs="Arial"/>
        </w:rPr>
        <w:t xml:space="preserve"> </w:t>
      </w:r>
    </w:p>
    <w:p w14:paraId="42818B90" w14:textId="77777777" w:rsidR="00D400DD" w:rsidRDefault="00D400DD" w:rsidP="00D400DD">
      <w:pPr>
        <w:spacing w:after="0" w:line="276" w:lineRule="auto"/>
        <w:ind w:right="379"/>
        <w:jc w:val="both"/>
        <w:rPr>
          <w:rFonts w:ascii="Arial" w:hAnsi="Arial" w:cs="Arial"/>
        </w:rPr>
      </w:pPr>
    </w:p>
    <w:p w14:paraId="15AC105D" w14:textId="0620447C" w:rsidR="00D400DD" w:rsidRPr="00D400DD" w:rsidRDefault="00AA673E" w:rsidP="00D400DD">
      <w:pPr>
        <w:spacing w:after="0" w:line="276" w:lineRule="auto"/>
        <w:ind w:right="379"/>
        <w:jc w:val="both"/>
        <w:rPr>
          <w:rFonts w:ascii="Arial" w:hAnsi="Arial" w:cs="Arial"/>
        </w:rPr>
      </w:pPr>
      <w:r w:rsidRPr="00D400DD">
        <w:rPr>
          <w:rFonts w:ascii="Arial" w:hAnsi="Arial" w:cs="Arial"/>
        </w:rPr>
        <w:t xml:space="preserve">En su afán por </w:t>
      </w:r>
      <w:r w:rsidR="00D400DD" w:rsidRPr="00D400DD">
        <w:rPr>
          <w:rFonts w:ascii="Arial" w:hAnsi="Arial" w:cs="Arial"/>
        </w:rPr>
        <w:t>promover</w:t>
      </w:r>
      <w:r w:rsidRPr="00D400DD">
        <w:rPr>
          <w:rFonts w:ascii="Arial" w:hAnsi="Arial" w:cs="Arial"/>
        </w:rPr>
        <w:t xml:space="preserve"> una empresa y una sociedad </w:t>
      </w:r>
      <w:r w:rsidR="00D400DD" w:rsidRPr="00D400DD">
        <w:rPr>
          <w:rFonts w:ascii="Arial" w:hAnsi="Arial" w:cs="Arial"/>
        </w:rPr>
        <w:t xml:space="preserve">que apueste por el empoderamiento femenino y que gestione de manera óptima la diversidad y la inclusión, Allianz viene colaborando con </w:t>
      </w:r>
      <w:r w:rsidRPr="00D400DD">
        <w:rPr>
          <w:rFonts w:ascii="Arial" w:hAnsi="Arial" w:cs="Arial"/>
        </w:rPr>
        <w:t xml:space="preserve">diferentes asociaciones como REDI (LGTBIQ+), Fundación Diversidad, Equipos y Talento, </w:t>
      </w:r>
      <w:proofErr w:type="spellStart"/>
      <w:r w:rsidRPr="00D400DD">
        <w:rPr>
          <w:rFonts w:ascii="Arial" w:hAnsi="Arial" w:cs="Arial"/>
        </w:rPr>
        <w:t>CEO’s</w:t>
      </w:r>
      <w:proofErr w:type="spellEnd"/>
      <w:r w:rsidRPr="00D400DD">
        <w:rPr>
          <w:rFonts w:ascii="Arial" w:hAnsi="Arial" w:cs="Arial"/>
        </w:rPr>
        <w:t xml:space="preserve"> por la diversidad o EDGE, además de </w:t>
      </w:r>
      <w:r w:rsidR="00D400DD" w:rsidRPr="00D400DD">
        <w:rPr>
          <w:rFonts w:ascii="Arial" w:hAnsi="Arial" w:cs="Arial"/>
        </w:rPr>
        <w:t>realizar una pormenorizada escucha de los mensajes que recoge en las encuestas de clima laboral</w:t>
      </w:r>
      <w:r w:rsidR="009C2416">
        <w:rPr>
          <w:rFonts w:ascii="Arial" w:hAnsi="Arial" w:cs="Arial"/>
        </w:rPr>
        <w:t>, que traduce en diferentes programas y actividades</w:t>
      </w:r>
      <w:r w:rsidR="00D400DD" w:rsidRPr="00D400DD">
        <w:rPr>
          <w:rFonts w:ascii="Arial" w:hAnsi="Arial" w:cs="Arial"/>
        </w:rPr>
        <w:t>.</w:t>
      </w:r>
    </w:p>
    <w:p w14:paraId="4C614E2A" w14:textId="77777777" w:rsidR="00D400DD" w:rsidRPr="00D400DD" w:rsidRDefault="00D400DD" w:rsidP="00D400DD">
      <w:pPr>
        <w:spacing w:after="0" w:line="276" w:lineRule="auto"/>
        <w:ind w:right="379"/>
        <w:jc w:val="both"/>
        <w:rPr>
          <w:rFonts w:ascii="Arial" w:hAnsi="Arial" w:cs="Arial"/>
          <w:color w:val="0070C0"/>
        </w:rPr>
      </w:pPr>
    </w:p>
    <w:p w14:paraId="544DC6B0" w14:textId="041B13A3" w:rsidR="00AA673E" w:rsidRPr="00D400DD" w:rsidRDefault="00D400DD" w:rsidP="00D400DD">
      <w:pPr>
        <w:spacing w:after="0" w:line="276" w:lineRule="auto"/>
        <w:ind w:right="379"/>
        <w:jc w:val="both"/>
        <w:rPr>
          <w:rFonts w:ascii="Arial" w:hAnsi="Arial" w:cs="Arial"/>
        </w:rPr>
      </w:pPr>
      <w:r w:rsidRPr="00D400DD">
        <w:rPr>
          <w:rFonts w:ascii="Arial" w:hAnsi="Arial" w:cs="Arial"/>
        </w:rPr>
        <w:t xml:space="preserve">Fruto de todo ello, la compañía ha puesto </w:t>
      </w:r>
      <w:r w:rsidR="009C2416">
        <w:rPr>
          <w:rFonts w:ascii="Arial" w:hAnsi="Arial" w:cs="Arial"/>
        </w:rPr>
        <w:t xml:space="preserve">ya </w:t>
      </w:r>
      <w:r w:rsidRPr="00D400DD">
        <w:rPr>
          <w:rFonts w:ascii="Arial" w:hAnsi="Arial" w:cs="Arial"/>
        </w:rPr>
        <w:t>en marcha iniciativas como</w:t>
      </w:r>
      <w:r w:rsidRPr="00D400DD">
        <w:rPr>
          <w:rFonts w:ascii="Arial" w:hAnsi="Arial" w:cs="Arial"/>
          <w:b/>
          <w:bCs/>
        </w:rPr>
        <w:t xml:space="preserve">: </w:t>
      </w:r>
      <w:r w:rsidR="00AA673E" w:rsidRPr="00D400DD">
        <w:rPr>
          <w:rFonts w:ascii="Arial" w:hAnsi="Arial" w:cs="Arial"/>
          <w:b/>
          <w:bCs/>
        </w:rPr>
        <w:t xml:space="preserve">#Women </w:t>
      </w:r>
      <w:proofErr w:type="spellStart"/>
      <w:r w:rsidR="00AA673E" w:rsidRPr="00D400DD">
        <w:rPr>
          <w:rFonts w:ascii="Arial" w:hAnsi="Arial" w:cs="Arial"/>
          <w:b/>
          <w:bCs/>
        </w:rPr>
        <w:t>Circle</w:t>
      </w:r>
      <w:proofErr w:type="spellEnd"/>
      <w:r w:rsidR="00AA673E" w:rsidRPr="00D400DD">
        <w:rPr>
          <w:rFonts w:ascii="Arial" w:hAnsi="Arial" w:cs="Arial"/>
        </w:rPr>
        <w:t xml:space="preserve">, con sesiones de trabajo presencial </w:t>
      </w:r>
      <w:r w:rsidRPr="00D400DD">
        <w:rPr>
          <w:rFonts w:ascii="Arial" w:hAnsi="Arial" w:cs="Arial"/>
        </w:rPr>
        <w:t>y</w:t>
      </w:r>
      <w:r w:rsidR="00AA673E" w:rsidRPr="00D400DD">
        <w:rPr>
          <w:rFonts w:ascii="Arial" w:hAnsi="Arial" w:cs="Arial"/>
        </w:rPr>
        <w:t xml:space="preserve"> coaching, en </w:t>
      </w:r>
      <w:r w:rsidRPr="00D400DD">
        <w:rPr>
          <w:rFonts w:ascii="Arial" w:hAnsi="Arial" w:cs="Arial"/>
        </w:rPr>
        <w:t>las</w:t>
      </w:r>
      <w:r w:rsidR="00AA673E" w:rsidRPr="00D400DD">
        <w:rPr>
          <w:rFonts w:ascii="Arial" w:hAnsi="Arial" w:cs="Arial"/>
        </w:rPr>
        <w:t xml:space="preserve"> que se trabaja el empoderamiento femenino; </w:t>
      </w:r>
      <w:proofErr w:type="spellStart"/>
      <w:r w:rsidR="00AA673E" w:rsidRPr="00D400DD">
        <w:rPr>
          <w:rFonts w:ascii="Arial" w:hAnsi="Arial" w:cs="Arial"/>
          <w:b/>
          <w:bCs/>
        </w:rPr>
        <w:t>Women</w:t>
      </w:r>
      <w:proofErr w:type="spellEnd"/>
      <w:r w:rsidR="00AA673E" w:rsidRPr="00D400DD">
        <w:rPr>
          <w:rFonts w:ascii="Arial" w:hAnsi="Arial" w:cs="Arial"/>
          <w:b/>
          <w:bCs/>
        </w:rPr>
        <w:t xml:space="preserve"> </w:t>
      </w:r>
      <w:proofErr w:type="spellStart"/>
      <w:r w:rsidR="00AA673E" w:rsidRPr="00D400DD">
        <w:rPr>
          <w:rFonts w:ascii="Arial" w:hAnsi="Arial" w:cs="Arial"/>
          <w:b/>
          <w:bCs/>
        </w:rPr>
        <w:t>Mentoring</w:t>
      </w:r>
      <w:proofErr w:type="spellEnd"/>
      <w:r w:rsidR="00AA673E" w:rsidRPr="00D400DD">
        <w:rPr>
          <w:rFonts w:ascii="Arial" w:hAnsi="Arial" w:cs="Arial"/>
        </w:rPr>
        <w:t xml:space="preserve">, programa interno para promover el talento femenino; </w:t>
      </w:r>
      <w:r w:rsidR="00AA673E" w:rsidRPr="00D400DD">
        <w:rPr>
          <w:rFonts w:ascii="Arial" w:hAnsi="Arial" w:cs="Arial"/>
          <w:b/>
          <w:bCs/>
        </w:rPr>
        <w:t>planes de sucesión</w:t>
      </w:r>
      <w:r w:rsidR="00AA673E" w:rsidRPr="00D400DD">
        <w:rPr>
          <w:rFonts w:ascii="Arial" w:hAnsi="Arial" w:cs="Arial"/>
        </w:rPr>
        <w:t xml:space="preserve"> en los que ha de haber</w:t>
      </w:r>
      <w:r w:rsidRPr="00D400DD">
        <w:rPr>
          <w:rFonts w:ascii="Arial" w:hAnsi="Arial" w:cs="Arial"/>
        </w:rPr>
        <w:t xml:space="preserve"> necesariamente</w:t>
      </w:r>
      <w:r w:rsidR="00AA673E" w:rsidRPr="00D400DD">
        <w:rPr>
          <w:rFonts w:ascii="Arial" w:hAnsi="Arial" w:cs="Arial"/>
        </w:rPr>
        <w:t xml:space="preserve">, al menos, una mujer; </w:t>
      </w:r>
      <w:r w:rsidR="00AA673E" w:rsidRPr="00D400DD">
        <w:rPr>
          <w:rFonts w:ascii="Arial" w:hAnsi="Arial" w:cs="Arial"/>
          <w:b/>
          <w:bCs/>
        </w:rPr>
        <w:t>charlas de igualdad</w:t>
      </w:r>
      <w:r w:rsidR="00AA673E" w:rsidRPr="00D400DD">
        <w:rPr>
          <w:rFonts w:ascii="Arial" w:hAnsi="Arial" w:cs="Arial"/>
        </w:rPr>
        <w:t xml:space="preserve">, que se organizan mensualmente o el  </w:t>
      </w:r>
      <w:r w:rsidR="00AA673E" w:rsidRPr="00D400DD">
        <w:rPr>
          <w:rFonts w:ascii="Arial" w:hAnsi="Arial" w:cs="Arial"/>
          <w:b/>
          <w:bCs/>
        </w:rPr>
        <w:t>Programa Iguales</w:t>
      </w:r>
      <w:r w:rsidR="00AA673E" w:rsidRPr="00D400DD">
        <w:rPr>
          <w:rFonts w:ascii="Arial" w:hAnsi="Arial" w:cs="Arial"/>
        </w:rPr>
        <w:t xml:space="preserve">, a través del cual </w:t>
      </w:r>
      <w:r w:rsidRPr="00D400DD">
        <w:rPr>
          <w:rFonts w:ascii="Arial" w:hAnsi="Arial" w:cs="Arial"/>
        </w:rPr>
        <w:t>se acompaña</w:t>
      </w:r>
      <w:r w:rsidR="00AA673E" w:rsidRPr="00D400DD">
        <w:rPr>
          <w:rFonts w:ascii="Arial" w:hAnsi="Arial" w:cs="Arial"/>
        </w:rPr>
        <w:t xml:space="preserve"> a aquellas personas que lo solicitan en la obtención del certificado de discapacidad. Además, </w:t>
      </w:r>
      <w:r>
        <w:rPr>
          <w:rFonts w:ascii="Arial" w:hAnsi="Arial" w:cs="Arial"/>
        </w:rPr>
        <w:t>Allianz</w:t>
      </w:r>
      <w:r w:rsidRPr="00D400DD">
        <w:rPr>
          <w:rFonts w:ascii="Arial" w:hAnsi="Arial" w:cs="Arial"/>
        </w:rPr>
        <w:t xml:space="preserve"> </w:t>
      </w:r>
      <w:r w:rsidR="00AA673E" w:rsidRPr="00D400DD">
        <w:rPr>
          <w:rFonts w:ascii="Arial" w:hAnsi="Arial" w:cs="Arial"/>
        </w:rPr>
        <w:t>pro</w:t>
      </w:r>
      <w:r w:rsidRPr="00D400DD">
        <w:rPr>
          <w:rFonts w:ascii="Arial" w:hAnsi="Arial" w:cs="Arial"/>
        </w:rPr>
        <w:t>mueve</w:t>
      </w:r>
      <w:r w:rsidR="00AA673E" w:rsidRPr="00D400DD">
        <w:rPr>
          <w:rFonts w:ascii="Arial" w:hAnsi="Arial" w:cs="Arial"/>
        </w:rPr>
        <w:t xml:space="preserve"> el conocimiento y la divulgación de temáticas sobre el empoderamiento femenino y la igualdad celebrando fechas clave como el </w:t>
      </w:r>
      <w:r w:rsidR="00351590" w:rsidRPr="00351590">
        <w:rPr>
          <w:rFonts w:ascii="Arial" w:hAnsi="Arial" w:cs="Arial"/>
        </w:rPr>
        <w:t>Día de la Mujer, Día Internacional de la Discapacidad</w:t>
      </w:r>
      <w:r w:rsidR="00351590">
        <w:rPr>
          <w:rFonts w:ascii="Arial" w:hAnsi="Arial" w:cs="Arial"/>
        </w:rPr>
        <w:t xml:space="preserve"> o el</w:t>
      </w:r>
      <w:r w:rsidR="00351590" w:rsidRPr="00351590">
        <w:rPr>
          <w:rFonts w:ascii="Arial" w:hAnsi="Arial" w:cs="Arial"/>
        </w:rPr>
        <w:t xml:space="preserve"> Mes del PRIDE</w:t>
      </w:r>
      <w:r w:rsidR="00AA673E" w:rsidRPr="00D400DD">
        <w:rPr>
          <w:rFonts w:ascii="Arial" w:hAnsi="Arial" w:cs="Arial"/>
        </w:rPr>
        <w:t xml:space="preserve">. En el marco de estas celebraciones se organizan charlas formativas y actividades diversas que </w:t>
      </w:r>
      <w:r w:rsidRPr="00D400DD">
        <w:rPr>
          <w:rFonts w:ascii="Arial" w:hAnsi="Arial" w:cs="Arial"/>
        </w:rPr>
        <w:t>ahondan</w:t>
      </w:r>
      <w:r w:rsidR="00AA673E" w:rsidRPr="00D400DD">
        <w:rPr>
          <w:rFonts w:ascii="Arial" w:hAnsi="Arial" w:cs="Arial"/>
        </w:rPr>
        <w:t xml:space="preserve"> en el conocimiento </w:t>
      </w:r>
      <w:r w:rsidRPr="00D400DD">
        <w:rPr>
          <w:rFonts w:ascii="Arial" w:hAnsi="Arial" w:cs="Arial"/>
        </w:rPr>
        <w:t xml:space="preserve">y </w:t>
      </w:r>
      <w:r w:rsidR="00AA673E" w:rsidRPr="00D400DD">
        <w:rPr>
          <w:rFonts w:ascii="Arial" w:hAnsi="Arial" w:cs="Arial"/>
        </w:rPr>
        <w:t xml:space="preserve">la comprensión de </w:t>
      </w:r>
      <w:r w:rsidRPr="00D400DD">
        <w:rPr>
          <w:rFonts w:ascii="Arial" w:hAnsi="Arial" w:cs="Arial"/>
        </w:rPr>
        <w:t xml:space="preserve">los </w:t>
      </w:r>
      <w:r w:rsidR="00AA673E" w:rsidRPr="00D400DD">
        <w:rPr>
          <w:rFonts w:ascii="Arial" w:hAnsi="Arial" w:cs="Arial"/>
        </w:rPr>
        <w:t xml:space="preserve">equipos sobre la realidad de los diferentes colectivos. </w:t>
      </w:r>
    </w:p>
    <w:p w14:paraId="46CC37BC" w14:textId="77777777" w:rsidR="00AA673E" w:rsidRPr="00D400DD" w:rsidRDefault="00AA673E" w:rsidP="00AA673E">
      <w:pPr>
        <w:spacing w:after="0" w:line="276" w:lineRule="auto"/>
        <w:ind w:right="379"/>
        <w:jc w:val="both"/>
        <w:rPr>
          <w:rFonts w:ascii="Arial" w:eastAsia="Arial" w:hAnsi="Arial" w:cs="Arial"/>
        </w:rPr>
      </w:pPr>
    </w:p>
    <w:p w14:paraId="6B72AE6E" w14:textId="4C223363" w:rsidR="00302332" w:rsidRDefault="00302332" w:rsidP="56ADF488">
      <w:pPr>
        <w:spacing w:after="0"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</w:p>
    <w:p w14:paraId="1096E410" w14:textId="5B3F0BF2" w:rsidR="00302332" w:rsidRDefault="73BDC82A" w:rsidP="56ADF488">
      <w:pPr>
        <w:spacing w:after="200"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b/>
          <w:bCs/>
          <w:color w:val="000000" w:themeColor="text1"/>
        </w:rPr>
        <w:t>Sobre Allianz Seguros</w:t>
      </w:r>
    </w:p>
    <w:p w14:paraId="138D0BA2" w14:textId="62A2F4BE" w:rsidR="00302332" w:rsidRDefault="73BDC82A" w:rsidP="56ADF488">
      <w:pPr>
        <w:spacing w:after="0"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color w:val="000000" w:themeColor="text1"/>
        </w:rPr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</w:t>
      </w:r>
      <w:r w:rsidR="00291A0B">
        <w:rPr>
          <w:rFonts w:ascii="Arial" w:eastAsia="Arial" w:hAnsi="Arial" w:cs="Arial"/>
          <w:color w:val="000000" w:themeColor="text1"/>
        </w:rPr>
        <w:t>0</w:t>
      </w:r>
      <w:r w:rsidRPr="56ADF488">
        <w:rPr>
          <w:rFonts w:ascii="Arial" w:eastAsia="Arial" w:hAnsi="Arial" w:cs="Arial"/>
          <w:color w:val="000000" w:themeColor="text1"/>
        </w:rPr>
        <w:t>00 empleados y su red de más de 1</w:t>
      </w:r>
      <w:r w:rsidR="00291A0B">
        <w:rPr>
          <w:rFonts w:ascii="Arial" w:eastAsia="Arial" w:hAnsi="Arial" w:cs="Arial"/>
          <w:color w:val="000000" w:themeColor="text1"/>
        </w:rPr>
        <w:t>0</w:t>
      </w:r>
      <w:r w:rsidRPr="56ADF488">
        <w:rPr>
          <w:rFonts w:ascii="Arial" w:eastAsia="Arial" w:hAnsi="Arial" w:cs="Arial"/>
          <w:color w:val="000000" w:themeColor="text1"/>
        </w:rPr>
        <w:t xml:space="preserve">.000 mediadores), y tecnológica (mediante herramientas como su aplicación para smartphones y tabletas, su área de </w:t>
      </w:r>
      <w:proofErr w:type="spellStart"/>
      <w:r w:rsidRPr="56ADF488">
        <w:rPr>
          <w:rFonts w:ascii="Arial" w:eastAsia="Arial" w:hAnsi="Arial" w:cs="Arial"/>
          <w:color w:val="000000" w:themeColor="text1"/>
        </w:rPr>
        <w:t>eCliente</w:t>
      </w:r>
      <w:proofErr w:type="spellEnd"/>
      <w:r w:rsidRPr="56ADF488">
        <w:rPr>
          <w:rFonts w:ascii="Arial" w:eastAsia="Arial" w:hAnsi="Arial" w:cs="Arial"/>
          <w:color w:val="000000" w:themeColor="text1"/>
        </w:rPr>
        <w:t xml:space="preserve"> de la web corporativa, y sus más de 500.000 SMS enviados anualmente a sus clientes). </w:t>
      </w:r>
    </w:p>
    <w:p w14:paraId="715151F4" w14:textId="137758B4" w:rsidR="00302332" w:rsidRDefault="00302332" w:rsidP="56ADF488">
      <w:pPr>
        <w:spacing w:after="0"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</w:p>
    <w:p w14:paraId="35218E65" w14:textId="29355BFA" w:rsidR="00302332" w:rsidRDefault="73BDC82A" w:rsidP="56ADF488">
      <w:pPr>
        <w:spacing w:after="0"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color w:val="000000" w:themeColor="text1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56ADF488">
        <w:rPr>
          <w:rFonts w:ascii="Arial" w:eastAsia="Arial" w:hAnsi="Arial" w:cs="Arial"/>
          <w:color w:val="000000" w:themeColor="text1"/>
        </w:rPr>
        <w:t>Multirriesgos</w:t>
      </w:r>
      <w:proofErr w:type="spellEnd"/>
      <w:r w:rsidRPr="56ADF488">
        <w:rPr>
          <w:rFonts w:ascii="Arial" w:eastAsia="Arial" w:hAnsi="Arial" w:cs="Arial"/>
          <w:color w:val="000000" w:themeColor="text1"/>
        </w:rPr>
        <w:t xml:space="preserve"> para empresas y comercios, hasta las soluciones aseguradoras personalizadas más complejas.</w:t>
      </w:r>
    </w:p>
    <w:p w14:paraId="415FF356" w14:textId="1D3DF1AB" w:rsidR="00302332" w:rsidRDefault="00302332" w:rsidP="56ADF488">
      <w:pPr>
        <w:spacing w:after="0" w:line="240" w:lineRule="auto"/>
        <w:ind w:right="425"/>
        <w:jc w:val="both"/>
        <w:rPr>
          <w:rFonts w:ascii="Arial" w:eastAsia="Arial" w:hAnsi="Arial" w:cs="Arial"/>
          <w:color w:val="000000" w:themeColor="text1"/>
        </w:rPr>
      </w:pPr>
    </w:p>
    <w:p w14:paraId="0616F62E" w14:textId="34C06E2B" w:rsidR="00302332" w:rsidRDefault="00302332" w:rsidP="56ADF48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4975CC4" w14:textId="0B07AEFC" w:rsidR="00302332" w:rsidRDefault="73BDC82A" w:rsidP="56ADF488">
      <w:pPr>
        <w:tabs>
          <w:tab w:val="left" w:pos="567"/>
        </w:tabs>
        <w:spacing w:after="0" w:line="240" w:lineRule="auto"/>
        <w:ind w:right="1418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color w:val="000000" w:themeColor="text1"/>
        </w:rPr>
        <w:t>Para más información:</w:t>
      </w:r>
    </w:p>
    <w:p w14:paraId="7C74A87A" w14:textId="2096FB80" w:rsidR="00302332" w:rsidRDefault="73BDC82A" w:rsidP="56ADF488">
      <w:pPr>
        <w:tabs>
          <w:tab w:val="left" w:pos="567"/>
        </w:tabs>
        <w:spacing w:after="0" w:line="240" w:lineRule="auto"/>
        <w:ind w:right="1418"/>
        <w:jc w:val="both"/>
        <w:rPr>
          <w:rFonts w:ascii="Arial" w:eastAsia="Arial" w:hAnsi="Arial" w:cs="Arial"/>
          <w:color w:val="000000" w:themeColor="text1"/>
        </w:rPr>
      </w:pPr>
      <w:r w:rsidRPr="56ADF488">
        <w:rPr>
          <w:rFonts w:ascii="Arial" w:eastAsia="Arial" w:hAnsi="Arial" w:cs="Arial"/>
          <w:color w:val="000000" w:themeColor="text1"/>
        </w:rPr>
        <w:t>Sonia Rodríguez</w:t>
      </w:r>
      <w:r w:rsidR="00302332">
        <w:tab/>
      </w:r>
      <w:r w:rsidR="00302332">
        <w:tab/>
      </w:r>
      <w:r w:rsidRPr="56ADF488">
        <w:rPr>
          <w:rFonts w:ascii="Arial" w:eastAsia="Arial" w:hAnsi="Arial" w:cs="Arial"/>
          <w:color w:val="000000" w:themeColor="text1"/>
        </w:rPr>
        <w:t>Tel. 91.596.00.66</w:t>
      </w:r>
    </w:p>
    <w:p w14:paraId="3FE2A21E" w14:textId="0F265056" w:rsidR="00302332" w:rsidRDefault="73BDC82A" w:rsidP="56ADF488">
      <w:pPr>
        <w:pStyle w:val="Ttulo4"/>
        <w:spacing w:line="240" w:lineRule="auto"/>
        <w:ind w:left="708" w:right="1418" w:hanging="708"/>
        <w:jc w:val="both"/>
        <w:rPr>
          <w:rFonts w:ascii="Arial" w:eastAsia="Arial" w:hAnsi="Arial" w:cs="Arial"/>
          <w:i w:val="0"/>
          <w:iCs w:val="0"/>
          <w:color w:val="000000" w:themeColor="text1"/>
        </w:rPr>
      </w:pPr>
      <w:r w:rsidRPr="56ADF488">
        <w:rPr>
          <w:rFonts w:ascii="Arial" w:eastAsia="Arial" w:hAnsi="Arial" w:cs="Arial"/>
          <w:i w:val="0"/>
          <w:iCs w:val="0"/>
          <w:color w:val="000000" w:themeColor="text1"/>
        </w:rPr>
        <w:t xml:space="preserve">Laura Gallach </w:t>
      </w:r>
      <w:r w:rsidR="00302332">
        <w:tab/>
      </w:r>
      <w:r w:rsidR="00302332">
        <w:tab/>
      </w:r>
      <w:r w:rsidRPr="56ADF488">
        <w:rPr>
          <w:rFonts w:ascii="Arial" w:eastAsia="Arial" w:hAnsi="Arial" w:cs="Arial"/>
          <w:i w:val="0"/>
          <w:iCs w:val="0"/>
          <w:color w:val="000000" w:themeColor="text1"/>
        </w:rPr>
        <w:t>Tel. 93.228.67.83</w:t>
      </w:r>
    </w:p>
    <w:p w14:paraId="1A694EC2" w14:textId="1F32F71D" w:rsidR="00302332" w:rsidRDefault="00302332" w:rsidP="56ADF48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0AF1CB0" w14:textId="021151BA" w:rsidR="00302332" w:rsidRDefault="00302332" w:rsidP="56ADF488">
      <w:pPr>
        <w:spacing w:after="0" w:line="240" w:lineRule="auto"/>
        <w:ind w:right="425"/>
        <w:jc w:val="both"/>
        <w:rPr>
          <w:rFonts w:ascii="Segoe UI" w:eastAsia="Segoe UI" w:hAnsi="Segoe UI" w:cs="Segoe UI"/>
          <w:color w:val="000000" w:themeColor="text1"/>
          <w:sz w:val="24"/>
          <w:szCs w:val="24"/>
        </w:rPr>
      </w:pPr>
    </w:p>
    <w:p w14:paraId="70E84010" w14:textId="077E8167" w:rsidR="00302332" w:rsidRDefault="73BDC82A" w:rsidP="56ADF488">
      <w:pPr>
        <w:spacing w:after="0" w:line="240" w:lineRule="auto"/>
        <w:ind w:right="141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56ADF488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 xml:space="preserve">Estas aseveraciones quedan, como siempre, sujetas a la siguiente </w:t>
      </w:r>
      <w:hyperlink r:id="rId11">
        <w:r w:rsidRPr="56ADF488">
          <w:rPr>
            <w:rStyle w:val="Hipervnculo"/>
            <w:rFonts w:ascii="Segoe UI" w:eastAsia="Segoe UI" w:hAnsi="Segoe UI" w:cs="Segoe UI"/>
            <w:b/>
            <w:bCs/>
            <w:sz w:val="18"/>
            <w:szCs w:val="18"/>
          </w:rPr>
          <w:t>nota preventiva</w:t>
        </w:r>
      </w:hyperlink>
      <w:r w:rsidRPr="56ADF488">
        <w:rPr>
          <w:rFonts w:ascii="Segoe UI" w:eastAsia="Segoe UI" w:hAnsi="Segoe UI" w:cs="Segoe UI"/>
          <w:b/>
          <w:bCs/>
          <w:color w:val="000000" w:themeColor="text1"/>
          <w:sz w:val="18"/>
          <w:szCs w:val="18"/>
        </w:rPr>
        <w:t>.</w:t>
      </w:r>
    </w:p>
    <w:p w14:paraId="5086FA18" w14:textId="24A509E8" w:rsidR="00302332" w:rsidRDefault="00302332" w:rsidP="56ADF48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C1A07E2" w14:textId="424786A4" w:rsidR="00302332" w:rsidRDefault="00302332" w:rsidP="56ADF488"/>
    <w:sectPr w:rsidR="0030233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E6E67" w14:textId="77777777" w:rsidR="008A6337" w:rsidRDefault="008A6337" w:rsidP="00854362">
      <w:pPr>
        <w:spacing w:after="0" w:line="240" w:lineRule="auto"/>
      </w:pPr>
      <w:r>
        <w:separator/>
      </w:r>
    </w:p>
  </w:endnote>
  <w:endnote w:type="continuationSeparator" w:id="0">
    <w:p w14:paraId="76D4BCF8" w14:textId="77777777" w:rsidR="008A6337" w:rsidRDefault="008A6337" w:rsidP="0085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1B3A" w14:textId="77777777" w:rsidR="008A6337" w:rsidRDefault="008A6337" w:rsidP="00854362">
      <w:pPr>
        <w:spacing w:after="0" w:line="240" w:lineRule="auto"/>
      </w:pPr>
      <w:r>
        <w:separator/>
      </w:r>
    </w:p>
  </w:footnote>
  <w:footnote w:type="continuationSeparator" w:id="0">
    <w:p w14:paraId="2B28F43C" w14:textId="77777777" w:rsidR="008A6337" w:rsidRDefault="008A6337" w:rsidP="00854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267DA"/>
    <w:multiLevelType w:val="hybridMultilevel"/>
    <w:tmpl w:val="DB340336"/>
    <w:lvl w:ilvl="0" w:tplc="718EA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CF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8A9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E3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2D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29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81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29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161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48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72EA55"/>
    <w:rsid w:val="0000012C"/>
    <w:rsid w:val="00027D2C"/>
    <w:rsid w:val="00047366"/>
    <w:rsid w:val="00051524"/>
    <w:rsid w:val="00065FF0"/>
    <w:rsid w:val="0008370F"/>
    <w:rsid w:val="0008416C"/>
    <w:rsid w:val="000A407E"/>
    <w:rsid w:val="000C7580"/>
    <w:rsid w:val="000E1238"/>
    <w:rsid w:val="000E6562"/>
    <w:rsid w:val="000F0FD9"/>
    <w:rsid w:val="0010669A"/>
    <w:rsid w:val="00113930"/>
    <w:rsid w:val="00175E40"/>
    <w:rsid w:val="001976BB"/>
    <w:rsid w:val="001B7E43"/>
    <w:rsid w:val="001C0ADC"/>
    <w:rsid w:val="001D0DF4"/>
    <w:rsid w:val="001E230F"/>
    <w:rsid w:val="00200F43"/>
    <w:rsid w:val="00206F96"/>
    <w:rsid w:val="00226A21"/>
    <w:rsid w:val="00240A4A"/>
    <w:rsid w:val="00241D57"/>
    <w:rsid w:val="002659A7"/>
    <w:rsid w:val="00267B39"/>
    <w:rsid w:val="00291A0B"/>
    <w:rsid w:val="00293C2E"/>
    <w:rsid w:val="002A03C5"/>
    <w:rsid w:val="002B46C5"/>
    <w:rsid w:val="002C3C72"/>
    <w:rsid w:val="002F0519"/>
    <w:rsid w:val="00302332"/>
    <w:rsid w:val="0030442A"/>
    <w:rsid w:val="00312517"/>
    <w:rsid w:val="00315818"/>
    <w:rsid w:val="00351590"/>
    <w:rsid w:val="003C7F06"/>
    <w:rsid w:val="003F5924"/>
    <w:rsid w:val="003F6506"/>
    <w:rsid w:val="00430676"/>
    <w:rsid w:val="004415D6"/>
    <w:rsid w:val="00453F22"/>
    <w:rsid w:val="00455259"/>
    <w:rsid w:val="0049348E"/>
    <w:rsid w:val="004B78CC"/>
    <w:rsid w:val="004C093B"/>
    <w:rsid w:val="004E7EB2"/>
    <w:rsid w:val="004F7952"/>
    <w:rsid w:val="005257B0"/>
    <w:rsid w:val="005428EE"/>
    <w:rsid w:val="00563059"/>
    <w:rsid w:val="00566969"/>
    <w:rsid w:val="00580344"/>
    <w:rsid w:val="005859E5"/>
    <w:rsid w:val="005A6929"/>
    <w:rsid w:val="005B3CE1"/>
    <w:rsid w:val="005D3174"/>
    <w:rsid w:val="00636922"/>
    <w:rsid w:val="006407EE"/>
    <w:rsid w:val="006A2023"/>
    <w:rsid w:val="006B39BD"/>
    <w:rsid w:val="006B440A"/>
    <w:rsid w:val="006D73E8"/>
    <w:rsid w:val="006E3D7B"/>
    <w:rsid w:val="00706151"/>
    <w:rsid w:val="007252EA"/>
    <w:rsid w:val="007349C9"/>
    <w:rsid w:val="00757E69"/>
    <w:rsid w:val="00774DEF"/>
    <w:rsid w:val="007863A3"/>
    <w:rsid w:val="007D099A"/>
    <w:rsid w:val="0081075D"/>
    <w:rsid w:val="008210DB"/>
    <w:rsid w:val="00854362"/>
    <w:rsid w:val="008668EC"/>
    <w:rsid w:val="0087173C"/>
    <w:rsid w:val="00884C97"/>
    <w:rsid w:val="00887F52"/>
    <w:rsid w:val="008A59E9"/>
    <w:rsid w:val="008A6337"/>
    <w:rsid w:val="008C2687"/>
    <w:rsid w:val="009003E1"/>
    <w:rsid w:val="00900667"/>
    <w:rsid w:val="00950951"/>
    <w:rsid w:val="00995D7E"/>
    <w:rsid w:val="009A057B"/>
    <w:rsid w:val="009A40D9"/>
    <w:rsid w:val="009A6692"/>
    <w:rsid w:val="009C2416"/>
    <w:rsid w:val="009F379C"/>
    <w:rsid w:val="00A23568"/>
    <w:rsid w:val="00A24ECD"/>
    <w:rsid w:val="00A57453"/>
    <w:rsid w:val="00A90390"/>
    <w:rsid w:val="00A942CF"/>
    <w:rsid w:val="00AA673E"/>
    <w:rsid w:val="00B71936"/>
    <w:rsid w:val="00BB1E3F"/>
    <w:rsid w:val="00BC1874"/>
    <w:rsid w:val="00BD534B"/>
    <w:rsid w:val="00BE2CB3"/>
    <w:rsid w:val="00BF574D"/>
    <w:rsid w:val="00C036D0"/>
    <w:rsid w:val="00C07D91"/>
    <w:rsid w:val="00C10E73"/>
    <w:rsid w:val="00C30874"/>
    <w:rsid w:val="00C31481"/>
    <w:rsid w:val="00C5098C"/>
    <w:rsid w:val="00C80E8A"/>
    <w:rsid w:val="00CB40CF"/>
    <w:rsid w:val="00CD381A"/>
    <w:rsid w:val="00CF0827"/>
    <w:rsid w:val="00D1261B"/>
    <w:rsid w:val="00D356D4"/>
    <w:rsid w:val="00D400DD"/>
    <w:rsid w:val="00D57CE6"/>
    <w:rsid w:val="00D64FAF"/>
    <w:rsid w:val="00D65B4E"/>
    <w:rsid w:val="00DA2BDD"/>
    <w:rsid w:val="00DB404B"/>
    <w:rsid w:val="00E0238F"/>
    <w:rsid w:val="00E10D28"/>
    <w:rsid w:val="00E1294F"/>
    <w:rsid w:val="00E13A2F"/>
    <w:rsid w:val="00E24E73"/>
    <w:rsid w:val="00E27A65"/>
    <w:rsid w:val="00E32A24"/>
    <w:rsid w:val="00EB0E6C"/>
    <w:rsid w:val="00EC6BE7"/>
    <w:rsid w:val="00EE4FF3"/>
    <w:rsid w:val="00EF16E6"/>
    <w:rsid w:val="00F07F16"/>
    <w:rsid w:val="00F344AC"/>
    <w:rsid w:val="00F75781"/>
    <w:rsid w:val="00FA3CE9"/>
    <w:rsid w:val="00FC2BE2"/>
    <w:rsid w:val="00FF0FBD"/>
    <w:rsid w:val="00FF15FB"/>
    <w:rsid w:val="0116D7A3"/>
    <w:rsid w:val="035C5BA9"/>
    <w:rsid w:val="085DCAE2"/>
    <w:rsid w:val="0981DE01"/>
    <w:rsid w:val="0A0C28CE"/>
    <w:rsid w:val="0A215366"/>
    <w:rsid w:val="0BFE4025"/>
    <w:rsid w:val="0CD2F80C"/>
    <w:rsid w:val="0D0756A4"/>
    <w:rsid w:val="0D43C990"/>
    <w:rsid w:val="0EF83735"/>
    <w:rsid w:val="0F608955"/>
    <w:rsid w:val="10E4B287"/>
    <w:rsid w:val="11C14656"/>
    <w:rsid w:val="130A36F9"/>
    <w:rsid w:val="1310EA1C"/>
    <w:rsid w:val="1399E2B7"/>
    <w:rsid w:val="15163D5A"/>
    <w:rsid w:val="15C71FB9"/>
    <w:rsid w:val="15CF52CE"/>
    <w:rsid w:val="1672C4E1"/>
    <w:rsid w:val="16D134BF"/>
    <w:rsid w:val="175E8634"/>
    <w:rsid w:val="17C12DB7"/>
    <w:rsid w:val="186F9977"/>
    <w:rsid w:val="192FF26D"/>
    <w:rsid w:val="1972EA55"/>
    <w:rsid w:val="1ABCFFB9"/>
    <w:rsid w:val="1C31A501"/>
    <w:rsid w:val="1C9CFC02"/>
    <w:rsid w:val="1DE3350F"/>
    <w:rsid w:val="1F435681"/>
    <w:rsid w:val="1F82DBF4"/>
    <w:rsid w:val="20EBEDC7"/>
    <w:rsid w:val="2475A2BE"/>
    <w:rsid w:val="24D3897D"/>
    <w:rsid w:val="257B3580"/>
    <w:rsid w:val="258ECD71"/>
    <w:rsid w:val="25916549"/>
    <w:rsid w:val="25BF5EEA"/>
    <w:rsid w:val="25ED641E"/>
    <w:rsid w:val="267BCEEE"/>
    <w:rsid w:val="269D460F"/>
    <w:rsid w:val="286CE6F5"/>
    <w:rsid w:val="28BAFC16"/>
    <w:rsid w:val="28EB31BF"/>
    <w:rsid w:val="292504E0"/>
    <w:rsid w:val="294D5401"/>
    <w:rsid w:val="2B42CB01"/>
    <w:rsid w:val="2C6B5CDD"/>
    <w:rsid w:val="2C763D3E"/>
    <w:rsid w:val="2D57E11F"/>
    <w:rsid w:val="2EB66214"/>
    <w:rsid w:val="2F94B5A3"/>
    <w:rsid w:val="2FE67C1B"/>
    <w:rsid w:val="30B975C2"/>
    <w:rsid w:val="32E57EC2"/>
    <w:rsid w:val="3378E0A8"/>
    <w:rsid w:val="339AA1F0"/>
    <w:rsid w:val="33CD37C9"/>
    <w:rsid w:val="34A0C4E1"/>
    <w:rsid w:val="37302AC3"/>
    <w:rsid w:val="383E5E7B"/>
    <w:rsid w:val="39743604"/>
    <w:rsid w:val="399A28A2"/>
    <w:rsid w:val="3CB1C2A9"/>
    <w:rsid w:val="3EA90FCF"/>
    <w:rsid w:val="3F1D3EF9"/>
    <w:rsid w:val="440EDB3D"/>
    <w:rsid w:val="4591A7DD"/>
    <w:rsid w:val="45AAAB9E"/>
    <w:rsid w:val="475BF04E"/>
    <w:rsid w:val="4955D468"/>
    <w:rsid w:val="4957257C"/>
    <w:rsid w:val="4A68A2DF"/>
    <w:rsid w:val="4AC3AB28"/>
    <w:rsid w:val="4ACF4503"/>
    <w:rsid w:val="4B09A20E"/>
    <w:rsid w:val="4C732970"/>
    <w:rsid w:val="4D3AF67C"/>
    <w:rsid w:val="4F571516"/>
    <w:rsid w:val="50EADCE7"/>
    <w:rsid w:val="50FABB3B"/>
    <w:rsid w:val="5208D53A"/>
    <w:rsid w:val="52233E98"/>
    <w:rsid w:val="53F44E72"/>
    <w:rsid w:val="55C8BCEE"/>
    <w:rsid w:val="56ADF488"/>
    <w:rsid w:val="5740FB3C"/>
    <w:rsid w:val="5779DE1E"/>
    <w:rsid w:val="57D4D79E"/>
    <w:rsid w:val="58C7BF95"/>
    <w:rsid w:val="59104437"/>
    <w:rsid w:val="5AA50EF5"/>
    <w:rsid w:val="5D051C04"/>
    <w:rsid w:val="5D902760"/>
    <w:rsid w:val="5D9B30B8"/>
    <w:rsid w:val="5DF3FCCC"/>
    <w:rsid w:val="5FE4F153"/>
    <w:rsid w:val="6221A583"/>
    <w:rsid w:val="6255797E"/>
    <w:rsid w:val="6370B1B6"/>
    <w:rsid w:val="6433B2A2"/>
    <w:rsid w:val="64E29848"/>
    <w:rsid w:val="65A834B7"/>
    <w:rsid w:val="67C275CC"/>
    <w:rsid w:val="68C0E631"/>
    <w:rsid w:val="69A4FB5D"/>
    <w:rsid w:val="6A186B06"/>
    <w:rsid w:val="6A20DC19"/>
    <w:rsid w:val="6A8468A8"/>
    <w:rsid w:val="6C639567"/>
    <w:rsid w:val="6CB5D66D"/>
    <w:rsid w:val="7073D4A5"/>
    <w:rsid w:val="70C3251B"/>
    <w:rsid w:val="7100DF6A"/>
    <w:rsid w:val="7169318A"/>
    <w:rsid w:val="71ED63AC"/>
    <w:rsid w:val="73BDC82A"/>
    <w:rsid w:val="7505B1CC"/>
    <w:rsid w:val="76B676BB"/>
    <w:rsid w:val="77B8E5EC"/>
    <w:rsid w:val="79221E92"/>
    <w:rsid w:val="7AFC73CE"/>
    <w:rsid w:val="7D98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2EA55"/>
  <w15:chartTrackingRefBased/>
  <w15:docId w15:val="{F0E22117-BD62-4DF2-A7CB-99ED8854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DF4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57E69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9A66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66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669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66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669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407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4" ma:contentTypeDescription="Contenido no relevante." ma:contentTypeScope="" ma:versionID="5faee385b26d42370dad7fa7e3f1cefc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3df784f7cd2eb23dd0456307be8a48b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Status xmlns="9ff07a45-11f5-479e-a441-cd98a86709fe">Sequía</ContractStatus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XU7P7SY2DP3Q-491014520-173483</_dlc_DocId>
    <_dlc_DocIdUrl xmlns="9ff07a45-11f5-479e-a441-cd98a86709fe">
      <Url>https://allianzms.sharepoint.com/teams/ES0006-3163019/_layouts/15/DocIdRedir.aspx?ID=XU7P7SY2DP3Q-491014520-173483</Url>
      <Description>XU7P7SY2DP3Q-491014520-173483</Description>
    </_dlc_DocIdUrl>
    <_dlc_DocIdPersistId xmlns="9ff07a45-11f5-479e-a441-cd98a86709fe" xsi:nil="true"/>
    <DossierStatus xmlns="9ff07a45-11f5-479e-a441-cd98a86709fe"/>
    <MailPreviewData xmlns="9ff07a45-11f5-479e-a441-cd98a86709fe" xsi:nil="true"/>
    <DossierOwner xmlns="9ff07a45-11f5-479e-a441-cd98a86709fe">
      <UserInfo>
        <DisplayName/>
        <AccountId/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D80940E4-7C78-40A3-9D5F-0197D2EE23C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983D8FE-2243-46FC-A603-687BD7A76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43E7E5-FAFA-40B7-BE02-96814D0CB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55E86A-2E17-4267-BC23-9D76F81CF7E5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 (ALLIANZ COMPANIA DE SEGUROS Y REASEGUROS S A)</dc:creator>
  <cp:keywords/>
  <dc:description/>
  <cp:lastModifiedBy>Rodriguez Mosquera, Sonia (Allianz Compania de Seguros y Reaseguros S.A.)</cp:lastModifiedBy>
  <cp:revision>2</cp:revision>
  <dcterms:created xsi:type="dcterms:W3CDTF">2024-02-07T07:23:00Z</dcterms:created>
  <dcterms:modified xsi:type="dcterms:W3CDTF">2024-02-07T07:23:00Z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5f591a-3248-43e9-9b70-1ad50135772d_Enabled">
    <vt:lpwstr>true</vt:lpwstr>
  </property>
  <property fmtid="{D5CDD505-2E9C-101B-9397-08002B2CF9AE}" pid="3" name="MSIP_Label_ce5f591a-3248-43e9-9b70-1ad50135772d_SetDate">
    <vt:lpwstr>2022-01-19T14:12:14Z</vt:lpwstr>
  </property>
  <property fmtid="{D5CDD505-2E9C-101B-9397-08002B2CF9AE}" pid="4" name="MSIP_Label_ce5f591a-3248-43e9-9b70-1ad50135772d_Method">
    <vt:lpwstr>Privileged</vt:lpwstr>
  </property>
  <property fmtid="{D5CDD505-2E9C-101B-9397-08002B2CF9AE}" pid="5" name="MSIP_Label_ce5f591a-3248-43e9-9b70-1ad50135772d_Name">
    <vt:lpwstr>ce5f591a-3248-43e9-9b70-1ad50135772d</vt:lpwstr>
  </property>
  <property fmtid="{D5CDD505-2E9C-101B-9397-08002B2CF9AE}" pid="6" name="MSIP_Label_ce5f591a-3248-43e9-9b70-1ad50135772d_SiteId">
    <vt:lpwstr>6e06e42d-6925-47c6-b9e7-9581c7ca302a</vt:lpwstr>
  </property>
  <property fmtid="{D5CDD505-2E9C-101B-9397-08002B2CF9AE}" pid="7" name="MSIP_Label_ce5f591a-3248-43e9-9b70-1ad50135772d_ActionId">
    <vt:lpwstr>94573668-fc7b-4652-92d9-0e49ccc4a274</vt:lpwstr>
  </property>
  <property fmtid="{D5CDD505-2E9C-101B-9397-08002B2CF9AE}" pid="8" name="MSIP_Label_ce5f591a-3248-43e9-9b70-1ad50135772d_ContentBits">
    <vt:lpwstr>0</vt:lpwstr>
  </property>
  <property fmtid="{D5CDD505-2E9C-101B-9397-08002B2CF9AE}" pid="9" name="ContentTypeId">
    <vt:lpwstr>0x010100125D78925D459C4792E0AB097CA57A8700468EE264CD9B964F9956379036DA5620</vt:lpwstr>
  </property>
  <property fmtid="{D5CDD505-2E9C-101B-9397-08002B2CF9AE}" pid="10" name="Metadata">
    <vt:lpwstr>b7988hualzfd</vt:lpwstr>
  </property>
  <property fmtid="{D5CDD505-2E9C-101B-9397-08002B2CF9AE}" pid="11" name="OfficeDocumentSecurity_19012022174840">
    <vt:lpwstr>19012022174840;e006418;0</vt:lpwstr>
  </property>
  <property fmtid="{D5CDD505-2E9C-101B-9397-08002B2CF9AE}" pid="12" name="OfficeDocumentSecurity_19012022175916">
    <vt:lpwstr>19012022175916;e006418;0</vt:lpwstr>
  </property>
  <property fmtid="{D5CDD505-2E9C-101B-9397-08002B2CF9AE}" pid="13" name="OfficeDocumentSecurity_19012022180837">
    <vt:lpwstr>19012022180837;e006418;0</vt:lpwstr>
  </property>
  <property fmtid="{D5CDD505-2E9C-101B-9397-08002B2CF9AE}" pid="14" name="OfficeDocumentSecurity_19012022180916">
    <vt:lpwstr>19012022180916;e006418;0</vt:lpwstr>
  </property>
  <property fmtid="{D5CDD505-2E9C-101B-9397-08002B2CF9AE}" pid="15" name="OfficeDocumentSecurity_19012022181344">
    <vt:lpwstr>19012022181344;e006418;0</vt:lpwstr>
  </property>
  <property fmtid="{D5CDD505-2E9C-101B-9397-08002B2CF9AE}" pid="16" name="OfficeDocumentSecurity_19012022181753">
    <vt:lpwstr>19012022181753;e006418;0</vt:lpwstr>
  </property>
  <property fmtid="{D5CDD505-2E9C-101B-9397-08002B2CF9AE}" pid="17" name="OfficeDocumentSecurity_19012022181820">
    <vt:lpwstr>19012022181820;e006418;0</vt:lpwstr>
  </property>
  <property fmtid="{D5CDD505-2E9C-101B-9397-08002B2CF9AE}" pid="18" name="OfficeDocumentSecurity_19012022183713">
    <vt:lpwstr>19012022183713;e006418;0</vt:lpwstr>
  </property>
  <property fmtid="{D5CDD505-2E9C-101B-9397-08002B2CF9AE}" pid="19" name="MediaServiceImageTags">
    <vt:lpwstr/>
  </property>
  <property fmtid="{D5CDD505-2E9C-101B-9397-08002B2CF9AE}" pid="20" name="_dlc_DocIdItemGuid">
    <vt:lpwstr>e44c7c45-43ba-4c89-93b5-7d54a2eb4e73</vt:lpwstr>
  </property>
  <property fmtid="{D5CDD505-2E9C-101B-9397-08002B2CF9AE}" pid="21" name="DossierDepartment">
    <vt:lpwstr/>
  </property>
  <property fmtid="{D5CDD505-2E9C-101B-9397-08002B2CF9AE}" pid="22" name="AllianzContractingParties">
    <vt:lpwstr/>
  </property>
  <property fmtid="{D5CDD505-2E9C-101B-9397-08002B2CF9AE}" pid="23" name="Contract_Type">
    <vt:lpwstr/>
  </property>
  <property fmtid="{D5CDD505-2E9C-101B-9397-08002B2CF9AE}" pid="24" name="b0fe84444e894ab98172082a3d0e58f8">
    <vt:lpwstr/>
  </property>
  <property fmtid="{D5CDD505-2E9C-101B-9397-08002B2CF9AE}" pid="25" name="Document_Class">
    <vt:lpwstr/>
  </property>
  <property fmtid="{D5CDD505-2E9C-101B-9397-08002B2CF9AE}" pid="26" name="iccd162ff52447b49ab8f5fd8f2cec1e">
    <vt:lpwstr/>
  </property>
</Properties>
</file>