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198D4" w14:textId="1ECE9ED0" w:rsidR="00302332" w:rsidRDefault="00302332" w:rsidP="56ADF488">
      <w:pPr>
        <w:spacing w:after="0" w:line="240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4110F631" w14:textId="5F2A5CB0" w:rsidR="00302332" w:rsidRDefault="73BDC82A" w:rsidP="56ADF488">
      <w:pPr>
        <w:spacing w:after="0" w:line="240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56ADF488">
        <w:rPr>
          <w:rFonts w:ascii="Segoe UI" w:eastAsia="Segoe UI" w:hAnsi="Segoe UI" w:cs="Segoe UI"/>
          <w:color w:val="000000" w:themeColor="text1"/>
          <w:sz w:val="28"/>
          <w:szCs w:val="28"/>
        </w:rPr>
        <w:t>Allianz Seguros</w:t>
      </w:r>
    </w:p>
    <w:p w14:paraId="509640FC" w14:textId="713302E0" w:rsidR="00302332" w:rsidRDefault="00302332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12"/>
          <w:szCs w:val="12"/>
        </w:rPr>
      </w:pPr>
    </w:p>
    <w:p w14:paraId="6EC7C8C3" w14:textId="0BE5F671" w:rsidR="00302332" w:rsidRDefault="73BDC82A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6ADF488">
        <w:rPr>
          <w:rFonts w:ascii="Arial" w:eastAsia="Arial" w:hAnsi="Arial" w:cs="Arial"/>
          <w:color w:val="000000" w:themeColor="text1"/>
          <w:sz w:val="20"/>
          <w:szCs w:val="20"/>
        </w:rPr>
        <w:t>Comunicación Corporativa</w:t>
      </w:r>
    </w:p>
    <w:p w14:paraId="346EF966" w14:textId="18369783" w:rsidR="00302332" w:rsidRDefault="00302332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</w:p>
    <w:p w14:paraId="02F9B323" w14:textId="3F0A2219" w:rsidR="00302332" w:rsidRDefault="73BDC82A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7F7F7F" w:themeColor="text1" w:themeTint="80"/>
          <w:sz w:val="44"/>
          <w:szCs w:val="44"/>
        </w:rPr>
      </w:pPr>
      <w:r w:rsidRPr="56ADF488">
        <w:rPr>
          <w:rFonts w:ascii="Arial" w:eastAsia="Arial" w:hAnsi="Arial" w:cs="Arial"/>
          <w:color w:val="7F7F7F" w:themeColor="text1" w:themeTint="80"/>
          <w:sz w:val="44"/>
          <w:szCs w:val="44"/>
        </w:rPr>
        <w:t>Nota de Prensa</w:t>
      </w:r>
    </w:p>
    <w:p w14:paraId="262A4D86" w14:textId="5DB398FC" w:rsidR="00302332" w:rsidRDefault="00302332" w:rsidP="56ADF488">
      <w:pPr>
        <w:spacing w:after="0" w:line="240" w:lineRule="auto"/>
        <w:ind w:firstLine="708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7E9A367" w14:textId="528FC6BD" w:rsidR="00302332" w:rsidRDefault="00302332" w:rsidP="56ADF488">
      <w:pPr>
        <w:spacing w:after="0" w:line="240" w:lineRule="auto"/>
        <w:ind w:left="540" w:right="283" w:hanging="682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204F7D4C" w14:textId="07B68504" w:rsidR="00302332" w:rsidRPr="000E5F9D" w:rsidRDefault="73BDC82A" w:rsidP="56ADF488">
      <w:pPr>
        <w:spacing w:after="0" w:line="240" w:lineRule="auto"/>
        <w:ind w:left="540" w:right="567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000E5F9D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Allianz </w:t>
      </w:r>
      <w:r w:rsidR="000E5F9D" w:rsidRPr="008908E6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se sitúa </w:t>
      </w:r>
      <w:r w:rsidR="000E5F9D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entre las</w:t>
      </w:r>
      <w:r w:rsidR="006E4C71" w:rsidRPr="000E5F9D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0E5F9D" w:rsidRPr="000E5F9D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17 </w:t>
      </w:r>
      <w:r w:rsidR="000E5F9D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mejores </w:t>
      </w:r>
      <w:r w:rsidR="009E7DB0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entidades </w:t>
      </w:r>
      <w:r w:rsidR="000E5F9D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para trabajar en el mundo </w:t>
      </w:r>
    </w:p>
    <w:p w14:paraId="2E93FEF9" w14:textId="5D945AFA" w:rsidR="00302332" w:rsidRPr="000E5F9D" w:rsidRDefault="00302332" w:rsidP="56ADF488">
      <w:pPr>
        <w:spacing w:after="0" w:line="240" w:lineRule="auto"/>
        <w:ind w:left="540" w:right="944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7E13E9F2" w14:textId="688383BF" w:rsidR="00302332" w:rsidRPr="000E5F9D" w:rsidRDefault="000E5F9D" w:rsidP="00EC40D6">
      <w:pPr>
        <w:pStyle w:val="Prrafodelista"/>
        <w:numPr>
          <w:ilvl w:val="0"/>
          <w:numId w:val="1"/>
        </w:numPr>
        <w:spacing w:after="0" w:line="360" w:lineRule="auto"/>
        <w:ind w:left="426" w:right="566" w:hanging="294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8908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El ranking </w:t>
      </w:r>
      <w:r w:rsidRPr="000E5F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Great Place </w:t>
      </w:r>
      <w:proofErr w:type="spellStart"/>
      <w:r w:rsidRPr="000E5F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proofErr w:type="spellEnd"/>
      <w:r w:rsidRPr="000E5F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5F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</w:t>
      </w:r>
      <w:r w:rsidRPr="008908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ork</w:t>
      </w:r>
      <w:proofErr w:type="spellEnd"/>
      <w:r w:rsidRPr="008908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sitúa a la compañía en e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 puesto 17 de los 25 mejores lugares para trabajar a nivel global</w:t>
      </w:r>
    </w:p>
    <w:p w14:paraId="7ADF9F89" w14:textId="7F410F47" w:rsidR="00302332" w:rsidRPr="00F560B6" w:rsidRDefault="000E5F9D" w:rsidP="00EC40D6">
      <w:pPr>
        <w:pStyle w:val="Prrafodelista"/>
        <w:numPr>
          <w:ilvl w:val="0"/>
          <w:numId w:val="1"/>
        </w:numPr>
        <w:spacing w:after="0" w:line="360" w:lineRule="auto"/>
        <w:ind w:left="426" w:right="941" w:hanging="29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Según el </w:t>
      </w:r>
      <w:r w:rsidRPr="000E5F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Barómetro de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la </w:t>
      </w:r>
      <w:r w:rsidRPr="000E5F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Confianza de Edelman de 2024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</w:t>
      </w:r>
      <w:r w:rsidRPr="000E5F9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el 79% de los empleados en todo el mundo confían en su empleador más que en ninguna otra institución</w:t>
      </w:r>
    </w:p>
    <w:p w14:paraId="61140E8B" w14:textId="77777777" w:rsidR="00F560B6" w:rsidRDefault="00F560B6" w:rsidP="00D72D01">
      <w:pPr>
        <w:spacing w:after="0" w:line="276" w:lineRule="auto"/>
        <w:ind w:right="425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48374991" w14:textId="0008527E" w:rsidR="000E5F9D" w:rsidRDefault="73BDC82A" w:rsidP="000E5F9D">
      <w:pPr>
        <w:spacing w:after="0" w:line="276" w:lineRule="auto"/>
        <w:ind w:right="425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Madrid, </w:t>
      </w:r>
      <w:r w:rsidR="000E5F9D">
        <w:rPr>
          <w:rFonts w:ascii="Arial" w:eastAsia="Arial" w:hAnsi="Arial" w:cs="Arial"/>
          <w:b/>
          <w:bCs/>
          <w:color w:val="000000" w:themeColor="text1"/>
        </w:rPr>
        <w:t>15</w:t>
      </w:r>
      <w:r w:rsidR="00F560B6">
        <w:rPr>
          <w:rFonts w:ascii="Arial" w:eastAsia="Arial" w:hAnsi="Arial" w:cs="Arial"/>
          <w:b/>
          <w:bCs/>
          <w:color w:val="000000" w:themeColor="text1"/>
        </w:rPr>
        <w:t xml:space="preserve"> de </w:t>
      </w:r>
      <w:r w:rsidR="000E5F9D">
        <w:rPr>
          <w:rFonts w:ascii="Arial" w:eastAsia="Arial" w:hAnsi="Arial" w:cs="Arial"/>
          <w:b/>
          <w:bCs/>
          <w:color w:val="000000" w:themeColor="text1"/>
        </w:rPr>
        <w:t>noviembre</w:t>
      </w:r>
      <w:r w:rsidR="000E5F9D" w:rsidRPr="56ADF48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56ADF488">
        <w:rPr>
          <w:rFonts w:ascii="Arial" w:eastAsia="Arial" w:hAnsi="Arial" w:cs="Arial"/>
          <w:b/>
          <w:bCs/>
          <w:color w:val="000000" w:themeColor="text1"/>
        </w:rPr>
        <w:t>de 202</w:t>
      </w:r>
      <w:r w:rsidR="00145072">
        <w:rPr>
          <w:rFonts w:ascii="Arial" w:eastAsia="Arial" w:hAnsi="Arial" w:cs="Arial"/>
          <w:b/>
          <w:bCs/>
          <w:color w:val="000000" w:themeColor="text1"/>
        </w:rPr>
        <w:t>4</w:t>
      </w:r>
      <w:r w:rsidRPr="56ADF488">
        <w:rPr>
          <w:rFonts w:ascii="Arial" w:eastAsia="Arial" w:hAnsi="Arial" w:cs="Arial"/>
          <w:b/>
          <w:bCs/>
          <w:color w:val="000000" w:themeColor="text1"/>
        </w:rPr>
        <w:t>.-</w:t>
      </w:r>
      <w:r w:rsidRPr="56ADF488">
        <w:rPr>
          <w:rFonts w:ascii="Arial" w:eastAsia="Arial" w:hAnsi="Arial" w:cs="Arial"/>
          <w:color w:val="000000" w:themeColor="text1"/>
        </w:rPr>
        <w:t xml:space="preserve"> </w:t>
      </w:r>
      <w:r w:rsidR="0076668B">
        <w:rPr>
          <w:rFonts w:ascii="Arial" w:eastAsia="Arial" w:hAnsi="Arial" w:cs="Arial"/>
          <w:color w:val="000000" w:themeColor="text1"/>
        </w:rPr>
        <w:t xml:space="preserve">Allianz </w:t>
      </w:r>
      <w:r w:rsidR="000E5F9D">
        <w:rPr>
          <w:rFonts w:ascii="Arial" w:eastAsia="Arial" w:hAnsi="Arial" w:cs="Arial"/>
          <w:color w:val="000000" w:themeColor="text1"/>
        </w:rPr>
        <w:t xml:space="preserve">ha alcanzado el </w:t>
      </w:r>
      <w:r w:rsidR="000E5F9D" w:rsidRPr="008908E6">
        <w:rPr>
          <w:rFonts w:ascii="Arial" w:eastAsia="Arial" w:hAnsi="Arial" w:cs="Arial"/>
          <w:b/>
          <w:bCs/>
          <w:color w:val="000000" w:themeColor="text1"/>
        </w:rPr>
        <w:t xml:space="preserve">puesto 17 entre los mejores 25 lugares para trabajar en el mundo en el ranking de Great Place </w:t>
      </w:r>
      <w:proofErr w:type="spellStart"/>
      <w:r w:rsidR="000E5F9D" w:rsidRPr="008908E6">
        <w:rPr>
          <w:rFonts w:ascii="Arial" w:eastAsia="Arial" w:hAnsi="Arial" w:cs="Arial"/>
          <w:b/>
          <w:bCs/>
          <w:color w:val="000000" w:themeColor="text1"/>
        </w:rPr>
        <w:t>to</w:t>
      </w:r>
      <w:proofErr w:type="spellEnd"/>
      <w:r w:rsidR="000E5F9D" w:rsidRPr="008908E6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="000E5F9D" w:rsidRPr="008908E6">
        <w:rPr>
          <w:rFonts w:ascii="Arial" w:eastAsia="Arial" w:hAnsi="Arial" w:cs="Arial"/>
          <w:b/>
          <w:bCs/>
          <w:color w:val="000000" w:themeColor="text1"/>
        </w:rPr>
        <w:t>Work</w:t>
      </w:r>
      <w:proofErr w:type="spellEnd"/>
      <w:r w:rsidR="000E5F9D" w:rsidRPr="000E5F9D">
        <w:rPr>
          <w:rFonts w:ascii="Arial" w:eastAsia="Arial" w:hAnsi="Arial" w:cs="Arial"/>
          <w:color w:val="000000" w:themeColor="text1"/>
        </w:rPr>
        <w:t xml:space="preserve">. </w:t>
      </w:r>
      <w:r w:rsidR="000E5F9D">
        <w:rPr>
          <w:rFonts w:ascii="Arial" w:eastAsia="Arial" w:hAnsi="Arial" w:cs="Arial"/>
          <w:color w:val="000000" w:themeColor="text1"/>
        </w:rPr>
        <w:t xml:space="preserve"> Este posicionamiento refleja la cultura y dedicación de los equipos de la compañía en el mundo y constata los avances de Allianz en su objetivo de crear un espacio de trabajo en el que </w:t>
      </w:r>
      <w:r w:rsidR="000E5F9D" w:rsidRPr="000E5F9D">
        <w:rPr>
          <w:rFonts w:ascii="Arial" w:eastAsia="Arial" w:hAnsi="Arial" w:cs="Arial"/>
          <w:color w:val="000000" w:themeColor="text1"/>
        </w:rPr>
        <w:t>la confianza, la colaboración y el sentido de pertenencia se expand</w:t>
      </w:r>
      <w:r w:rsidR="000E5F9D">
        <w:rPr>
          <w:rFonts w:ascii="Arial" w:eastAsia="Arial" w:hAnsi="Arial" w:cs="Arial"/>
          <w:color w:val="000000" w:themeColor="text1"/>
        </w:rPr>
        <w:t>a</w:t>
      </w:r>
      <w:r w:rsidR="000E5F9D" w:rsidRPr="000E5F9D">
        <w:rPr>
          <w:rFonts w:ascii="Arial" w:eastAsia="Arial" w:hAnsi="Arial" w:cs="Arial"/>
          <w:color w:val="000000" w:themeColor="text1"/>
        </w:rPr>
        <w:t xml:space="preserve">n por todo </w:t>
      </w:r>
      <w:r w:rsidR="000E5F9D">
        <w:rPr>
          <w:rFonts w:ascii="Arial" w:eastAsia="Arial" w:hAnsi="Arial" w:cs="Arial"/>
          <w:color w:val="000000" w:themeColor="text1"/>
        </w:rPr>
        <w:t xml:space="preserve">el mundo Allianz. </w:t>
      </w:r>
    </w:p>
    <w:p w14:paraId="13011200" w14:textId="77777777" w:rsidR="00F43C57" w:rsidRDefault="00F43C57" w:rsidP="00A46672">
      <w:pPr>
        <w:spacing w:after="0" w:line="276" w:lineRule="auto"/>
        <w:ind w:right="425"/>
        <w:jc w:val="both"/>
        <w:rPr>
          <w:rFonts w:ascii="Arial" w:eastAsia="Arial" w:hAnsi="Arial" w:cs="Arial"/>
          <w:color w:val="000000" w:themeColor="text1"/>
        </w:rPr>
      </w:pPr>
    </w:p>
    <w:p w14:paraId="1E28FD93" w14:textId="7DF40B01" w:rsidR="000E5F9D" w:rsidRPr="008908E6" w:rsidRDefault="000E5F9D" w:rsidP="008908E6">
      <w:pPr>
        <w:ind w:right="379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Esta posición en el ranking </w:t>
      </w:r>
      <w:r w:rsidRPr="000E5F9D">
        <w:rPr>
          <w:rFonts w:ascii="Arial" w:eastAsia="Arial" w:hAnsi="Arial" w:cs="Arial"/>
          <w:color w:val="000000" w:themeColor="text1"/>
        </w:rPr>
        <w:t xml:space="preserve">Great Place </w:t>
      </w:r>
      <w:proofErr w:type="spellStart"/>
      <w:r w:rsidRPr="000E5F9D">
        <w:rPr>
          <w:rFonts w:ascii="Arial" w:eastAsia="Arial" w:hAnsi="Arial" w:cs="Arial"/>
          <w:color w:val="000000" w:themeColor="text1"/>
        </w:rPr>
        <w:t>to</w:t>
      </w:r>
      <w:proofErr w:type="spellEnd"/>
      <w:r w:rsidRPr="000E5F9D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0E5F9D">
        <w:rPr>
          <w:rFonts w:ascii="Arial" w:eastAsia="Arial" w:hAnsi="Arial" w:cs="Arial"/>
          <w:color w:val="000000" w:themeColor="text1"/>
        </w:rPr>
        <w:t>Work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 no solo muestra la fortaleza de Allianz como líder asegurador sino también </w:t>
      </w:r>
      <w:r w:rsidRPr="008908E6">
        <w:rPr>
          <w:rFonts w:ascii="Arial" w:hAnsi="Arial" w:cs="Arial"/>
        </w:rPr>
        <w:t>como empleador en todas las industrias</w:t>
      </w:r>
      <w:r w:rsidRPr="008908E6">
        <w:rPr>
          <w:rFonts w:ascii="Arial" w:eastAsia="Arial" w:hAnsi="Arial" w:cs="Arial"/>
          <w:color w:val="000000" w:themeColor="text1"/>
        </w:rPr>
        <w:t xml:space="preserve">. </w:t>
      </w:r>
      <w:r w:rsidR="008908E6" w:rsidRPr="008908E6">
        <w:rPr>
          <w:rFonts w:ascii="Arial" w:eastAsia="Arial" w:hAnsi="Arial" w:cs="Arial"/>
          <w:color w:val="000000" w:themeColor="text1"/>
        </w:rPr>
        <w:t>E</w:t>
      </w:r>
      <w:r w:rsidR="008908E6">
        <w:rPr>
          <w:rFonts w:ascii="Arial" w:eastAsia="Arial" w:hAnsi="Arial" w:cs="Arial"/>
          <w:color w:val="000000" w:themeColor="text1"/>
        </w:rPr>
        <w:t>l</w:t>
      </w:r>
      <w:r w:rsidR="008908E6" w:rsidRPr="008908E6">
        <w:rPr>
          <w:rFonts w:ascii="Arial" w:eastAsia="Arial" w:hAnsi="Arial" w:cs="Arial"/>
          <w:color w:val="000000" w:themeColor="text1"/>
        </w:rPr>
        <w:t xml:space="preserve"> </w:t>
      </w:r>
      <w:r w:rsidRPr="008908E6">
        <w:rPr>
          <w:rFonts w:ascii="Arial" w:eastAsia="Arial" w:hAnsi="Arial" w:cs="Arial"/>
          <w:color w:val="000000" w:themeColor="text1"/>
        </w:rPr>
        <w:t xml:space="preserve">reconocimiento se ve, además reforzado por los </w:t>
      </w:r>
      <w:r>
        <w:rPr>
          <w:rFonts w:ascii="Arial" w:eastAsia="Arial" w:hAnsi="Arial" w:cs="Arial"/>
          <w:color w:val="000000" w:themeColor="text1"/>
        </w:rPr>
        <w:t>resultados</w:t>
      </w:r>
      <w:r w:rsidRPr="008908E6">
        <w:rPr>
          <w:rFonts w:ascii="Arial" w:eastAsia="Arial" w:hAnsi="Arial" w:cs="Arial"/>
          <w:color w:val="000000" w:themeColor="text1"/>
        </w:rPr>
        <w:t xml:space="preserve"> del </w:t>
      </w:r>
      <w:r w:rsidRPr="008908E6">
        <w:rPr>
          <w:rFonts w:ascii="Arial" w:eastAsia="Arial" w:hAnsi="Arial" w:cs="Arial"/>
          <w:b/>
          <w:bCs/>
          <w:color w:val="000000" w:themeColor="text1"/>
        </w:rPr>
        <w:t>Barómetro de la Confianza de Edelman</w:t>
      </w:r>
      <w:r w:rsidRPr="008908E6">
        <w:rPr>
          <w:rFonts w:ascii="Arial" w:eastAsia="Arial" w:hAnsi="Arial" w:cs="Arial"/>
          <w:color w:val="000000" w:themeColor="text1"/>
        </w:rPr>
        <w:t xml:space="preserve"> de 2024 </w:t>
      </w:r>
      <w:r>
        <w:rPr>
          <w:rFonts w:ascii="Arial" w:eastAsia="Arial" w:hAnsi="Arial" w:cs="Arial"/>
          <w:color w:val="000000" w:themeColor="text1"/>
        </w:rPr>
        <w:t>según los cuales</w:t>
      </w:r>
      <w:r w:rsidRPr="008908E6">
        <w:rPr>
          <w:rFonts w:ascii="Arial" w:eastAsia="Arial" w:hAnsi="Arial" w:cs="Arial"/>
          <w:color w:val="000000" w:themeColor="text1"/>
        </w:rPr>
        <w:t xml:space="preserve"> el 79% de los empleados en todo el mundo confían en su empleador más que en ninguna otra institución. </w:t>
      </w:r>
    </w:p>
    <w:p w14:paraId="6A21C0EF" w14:textId="3808D5EB" w:rsidR="000E5F9D" w:rsidRPr="008908E6" w:rsidRDefault="008908E6" w:rsidP="008908E6">
      <w:pPr>
        <w:ind w:right="379"/>
        <w:jc w:val="both"/>
        <w:rPr>
          <w:rFonts w:ascii="Arial" w:hAnsi="Arial" w:cs="Arial"/>
        </w:rPr>
      </w:pPr>
      <w:proofErr w:type="gramStart"/>
      <w:r w:rsidRPr="008908E6">
        <w:rPr>
          <w:rFonts w:ascii="Arial" w:hAnsi="Arial" w:cs="Arial"/>
        </w:rPr>
        <w:t>A día de hoy</w:t>
      </w:r>
      <w:proofErr w:type="gramEnd"/>
      <w:r w:rsidRPr="008908E6">
        <w:rPr>
          <w:rFonts w:ascii="Arial" w:hAnsi="Arial" w:cs="Arial"/>
        </w:rPr>
        <w:t xml:space="preserve">, 52 entidades de Allianz están certificadas como Great Place </w:t>
      </w:r>
      <w:proofErr w:type="spellStart"/>
      <w:r w:rsidRPr="008908E6">
        <w:rPr>
          <w:rFonts w:ascii="Arial" w:hAnsi="Arial" w:cs="Arial"/>
        </w:rPr>
        <w:t>to</w:t>
      </w:r>
      <w:proofErr w:type="spellEnd"/>
      <w:r w:rsidRPr="008908E6">
        <w:rPr>
          <w:rFonts w:ascii="Arial" w:hAnsi="Arial" w:cs="Arial"/>
        </w:rPr>
        <w:t xml:space="preserve"> </w:t>
      </w:r>
      <w:proofErr w:type="spellStart"/>
      <w:r w:rsidRPr="008908E6">
        <w:rPr>
          <w:rFonts w:ascii="Arial" w:hAnsi="Arial" w:cs="Arial"/>
        </w:rPr>
        <w:t>Work</w:t>
      </w:r>
      <w:proofErr w:type="spellEnd"/>
      <w:r w:rsidRPr="008908E6">
        <w:rPr>
          <w:rFonts w:ascii="Arial" w:hAnsi="Arial" w:cs="Arial"/>
        </w:rPr>
        <w:t xml:space="preserve">® en 33 países, con 16 entidades incluidas en listas nacionales de "Mejores Lugares de Trabajo". En los últimos meses, </w:t>
      </w:r>
      <w:r>
        <w:rPr>
          <w:rFonts w:ascii="Arial" w:hAnsi="Arial" w:cs="Arial"/>
        </w:rPr>
        <w:t>l</w:t>
      </w:r>
      <w:r w:rsidRPr="008908E6">
        <w:rPr>
          <w:rFonts w:ascii="Arial" w:hAnsi="Arial" w:cs="Arial"/>
        </w:rPr>
        <w:t xml:space="preserve">as compañías del Grupo Allianz en España </w:t>
      </w:r>
      <w:r w:rsidRPr="008908E6">
        <w:rPr>
          <w:rFonts w:ascii="Arial" w:hAnsi="Arial" w:cs="Arial"/>
          <w:b/>
          <w:bCs/>
        </w:rPr>
        <w:t xml:space="preserve">Allianz Seguros </w:t>
      </w:r>
      <w:r w:rsidRPr="009E7DB0">
        <w:rPr>
          <w:rFonts w:ascii="Arial" w:hAnsi="Arial" w:cs="Arial"/>
        </w:rPr>
        <w:t>y Allianz Commercial</w:t>
      </w:r>
      <w:r w:rsidRPr="008908E6">
        <w:rPr>
          <w:rFonts w:ascii="Arial" w:hAnsi="Arial" w:cs="Arial"/>
        </w:rPr>
        <w:t xml:space="preserve"> fueron certificadas por primera vez como Great Place </w:t>
      </w:r>
      <w:proofErr w:type="spellStart"/>
      <w:r w:rsidRPr="008908E6">
        <w:rPr>
          <w:rFonts w:ascii="Arial" w:hAnsi="Arial" w:cs="Arial"/>
        </w:rPr>
        <w:t>to</w:t>
      </w:r>
      <w:proofErr w:type="spellEnd"/>
      <w:r w:rsidRPr="008908E6">
        <w:rPr>
          <w:rFonts w:ascii="Arial" w:hAnsi="Arial" w:cs="Arial"/>
        </w:rPr>
        <w:t xml:space="preserve"> </w:t>
      </w:r>
      <w:proofErr w:type="spellStart"/>
      <w:r w:rsidRPr="008908E6">
        <w:rPr>
          <w:rFonts w:ascii="Arial" w:hAnsi="Arial" w:cs="Arial"/>
        </w:rPr>
        <w:t>Work</w:t>
      </w:r>
      <w:proofErr w:type="spellEnd"/>
      <w:r w:rsidRPr="008908E6">
        <w:rPr>
          <w:rFonts w:ascii="Arial" w:hAnsi="Arial" w:cs="Arial"/>
        </w:rPr>
        <w:t xml:space="preserve">. Cabe mencionar que los equipos de las empresas del Grupo Allianz en España valoraron muy especialmente las cuestiones relacionadas con la conciliación de la vida profesional y </w:t>
      </w:r>
      <w:proofErr w:type="gramStart"/>
      <w:r w:rsidRPr="008908E6">
        <w:rPr>
          <w:rFonts w:ascii="Arial" w:hAnsi="Arial" w:cs="Arial"/>
        </w:rPr>
        <w:t>personal</w:t>
      </w:r>
      <w:proofErr w:type="gramEnd"/>
      <w:r w:rsidRPr="008908E6">
        <w:rPr>
          <w:rFonts w:ascii="Arial" w:hAnsi="Arial" w:cs="Arial"/>
        </w:rPr>
        <w:t xml:space="preserve"> así como la diversidad, el sentimiento de comunidad y la cohesión del equipo.</w:t>
      </w:r>
    </w:p>
    <w:p w14:paraId="1CAE5B1F" w14:textId="77777777" w:rsidR="000E5F9D" w:rsidRDefault="000E5F9D" w:rsidP="000E5F9D"/>
    <w:p w14:paraId="44976DE4" w14:textId="77777777" w:rsidR="000E5F9D" w:rsidRDefault="000E5F9D" w:rsidP="000E5F9D"/>
    <w:p w14:paraId="36D465FB" w14:textId="77777777" w:rsidR="000E5F9D" w:rsidRDefault="000E5F9D" w:rsidP="000E5F9D"/>
    <w:p w14:paraId="0D592FF8" w14:textId="77777777" w:rsidR="000E5F9D" w:rsidRDefault="000E5F9D" w:rsidP="000E5F9D">
      <w:r>
        <w:t xml:space="preserve"> </w:t>
      </w:r>
    </w:p>
    <w:p w14:paraId="3191F225" w14:textId="77777777" w:rsidR="000E5F9D" w:rsidRDefault="000E5F9D" w:rsidP="000E5F9D"/>
    <w:p w14:paraId="0CC73B69" w14:textId="329D175B" w:rsidR="000E5F9D" w:rsidRPr="008908E6" w:rsidRDefault="008908E6" w:rsidP="008908E6">
      <w:pPr>
        <w:ind w:right="379"/>
        <w:jc w:val="both"/>
        <w:rPr>
          <w:rFonts w:ascii="Arial" w:eastAsia="Arial" w:hAnsi="Arial" w:cs="Arial"/>
          <w:color w:val="000000" w:themeColor="text1"/>
        </w:rPr>
      </w:pPr>
      <w:r w:rsidRPr="008908E6">
        <w:rPr>
          <w:rFonts w:ascii="Arial" w:hAnsi="Arial" w:cs="Arial"/>
        </w:rPr>
        <w:t>Este</w:t>
      </w:r>
      <w:r w:rsidR="000E5F9D" w:rsidRPr="008908E6">
        <w:rPr>
          <w:rFonts w:ascii="Arial" w:hAnsi="Arial" w:cs="Arial"/>
        </w:rPr>
        <w:t xml:space="preserve"> </w:t>
      </w:r>
      <w:r w:rsidRPr="008908E6">
        <w:rPr>
          <w:rFonts w:ascii="Arial" w:hAnsi="Arial" w:cs="Arial"/>
        </w:rPr>
        <w:t xml:space="preserve">es </w:t>
      </w:r>
      <w:r w:rsidR="000E5F9D" w:rsidRPr="008908E6">
        <w:rPr>
          <w:rFonts w:ascii="Arial" w:hAnsi="Arial" w:cs="Arial"/>
        </w:rPr>
        <w:t>un poderoso reconocimiento del compromiso de Allianz de crear un lugar de trabajo donde los e</w:t>
      </w:r>
      <w:r w:rsidRPr="008908E6">
        <w:rPr>
          <w:rFonts w:ascii="Arial" w:hAnsi="Arial" w:cs="Arial"/>
        </w:rPr>
        <w:t>quipos</w:t>
      </w:r>
      <w:r w:rsidR="000E5F9D" w:rsidRPr="008908E6">
        <w:rPr>
          <w:rFonts w:ascii="Arial" w:hAnsi="Arial" w:cs="Arial"/>
        </w:rPr>
        <w:t xml:space="preserve"> se sientan valorados, respetados y empoderados</w:t>
      </w:r>
      <w:r w:rsidRPr="008908E6">
        <w:rPr>
          <w:rFonts w:ascii="Arial" w:hAnsi="Arial" w:cs="Arial"/>
        </w:rPr>
        <w:t xml:space="preserve">. </w:t>
      </w:r>
      <w:r w:rsidR="000E5F9D" w:rsidRPr="008908E6">
        <w:rPr>
          <w:rFonts w:ascii="Arial" w:hAnsi="Arial" w:cs="Arial"/>
        </w:rPr>
        <w:t xml:space="preserve">Se ha demostrado que los lugares de trabajo de alta confianza fomentan un mayor compromiso de los empleados, aumentan la retención y fomentan la innovación. </w:t>
      </w:r>
    </w:p>
    <w:p w14:paraId="2808B32E" w14:textId="77777777" w:rsidR="000E5F9D" w:rsidRDefault="000E5F9D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</w:p>
    <w:p w14:paraId="1096E410" w14:textId="5B3F0BF2" w:rsidR="00302332" w:rsidRDefault="73BDC82A" w:rsidP="56ADF488">
      <w:pPr>
        <w:spacing w:after="20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>Sobre Allianz Seguros</w:t>
      </w:r>
    </w:p>
    <w:p w14:paraId="138D0BA2" w14:textId="16C25086" w:rsidR="00302332" w:rsidRDefault="73BDC82A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eCliente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de la web corporativa, y sus más de 500.000 SMS enviados anualmente a sus clientes). </w:t>
      </w:r>
    </w:p>
    <w:p w14:paraId="715151F4" w14:textId="137758B4" w:rsidR="00302332" w:rsidRDefault="00302332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</w:p>
    <w:p w14:paraId="35218E65" w14:textId="29355BFA" w:rsidR="00302332" w:rsidRDefault="73BDC82A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Multirriesgos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para empresas y comercios, hasta las soluciones aseguradoras personalizadas más complejas.</w:t>
      </w:r>
    </w:p>
    <w:p w14:paraId="144683DD" w14:textId="77777777" w:rsidR="0076668B" w:rsidRDefault="0076668B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</w:p>
    <w:p w14:paraId="415FF356" w14:textId="1D3DF1AB" w:rsidR="00302332" w:rsidRDefault="00302332" w:rsidP="56ADF488">
      <w:pPr>
        <w:spacing w:after="0" w:line="240" w:lineRule="auto"/>
        <w:ind w:right="425"/>
        <w:jc w:val="both"/>
        <w:rPr>
          <w:rFonts w:ascii="Arial" w:eastAsia="Arial" w:hAnsi="Arial" w:cs="Arial"/>
          <w:color w:val="000000" w:themeColor="text1"/>
        </w:rPr>
      </w:pPr>
    </w:p>
    <w:p w14:paraId="0616F62E" w14:textId="34C06E2B" w:rsidR="00302332" w:rsidRPr="00A46672" w:rsidRDefault="00302332" w:rsidP="56ADF488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74975CC4" w14:textId="0B07AEFC" w:rsidR="00302332" w:rsidRPr="00A46672" w:rsidRDefault="73BDC82A" w:rsidP="56ADF488">
      <w:pP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A46672">
        <w:rPr>
          <w:rFonts w:ascii="Arial" w:eastAsia="Arial" w:hAnsi="Arial" w:cs="Arial"/>
          <w:b/>
          <w:bCs/>
          <w:color w:val="000000" w:themeColor="text1"/>
        </w:rPr>
        <w:t>Para más información:</w:t>
      </w:r>
    </w:p>
    <w:p w14:paraId="7C74A87A" w14:textId="2096FB80" w:rsidR="00302332" w:rsidRDefault="73BDC82A" w:rsidP="56ADF488">
      <w:pP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>Sonia Rodríguez</w:t>
      </w:r>
      <w:r w:rsidR="00302332">
        <w:tab/>
      </w:r>
      <w:r w:rsidR="00302332">
        <w:tab/>
      </w:r>
      <w:r w:rsidRPr="56ADF488">
        <w:rPr>
          <w:rFonts w:ascii="Arial" w:eastAsia="Arial" w:hAnsi="Arial" w:cs="Arial"/>
          <w:color w:val="000000" w:themeColor="text1"/>
        </w:rPr>
        <w:t>Tel. 91.596.00.66</w:t>
      </w:r>
    </w:p>
    <w:p w14:paraId="3FE2A21E" w14:textId="0F265056" w:rsidR="00302332" w:rsidRDefault="73BDC82A" w:rsidP="56ADF488">
      <w:pPr>
        <w:pStyle w:val="Ttulo4"/>
        <w:spacing w:line="240" w:lineRule="auto"/>
        <w:ind w:left="708" w:right="1418" w:hanging="708"/>
        <w:jc w:val="both"/>
        <w:rPr>
          <w:rFonts w:ascii="Arial" w:eastAsia="Arial" w:hAnsi="Arial" w:cs="Arial"/>
          <w:i w:val="0"/>
          <w:iCs w:val="0"/>
          <w:color w:val="000000" w:themeColor="text1"/>
        </w:rPr>
      </w:pPr>
      <w:r w:rsidRPr="56ADF488">
        <w:rPr>
          <w:rFonts w:ascii="Arial" w:eastAsia="Arial" w:hAnsi="Arial" w:cs="Arial"/>
          <w:i w:val="0"/>
          <w:iCs w:val="0"/>
          <w:color w:val="000000" w:themeColor="text1"/>
        </w:rPr>
        <w:t xml:space="preserve">Laura Gallach </w:t>
      </w:r>
      <w:r w:rsidR="00302332">
        <w:tab/>
      </w:r>
      <w:r w:rsidR="00302332">
        <w:tab/>
      </w:r>
      <w:r w:rsidRPr="56ADF488">
        <w:rPr>
          <w:rFonts w:ascii="Arial" w:eastAsia="Arial" w:hAnsi="Arial" w:cs="Arial"/>
          <w:i w:val="0"/>
          <w:iCs w:val="0"/>
          <w:color w:val="000000" w:themeColor="text1"/>
        </w:rPr>
        <w:t>Tel. 93.228.67.83</w:t>
      </w:r>
    </w:p>
    <w:p w14:paraId="5C1A07E2" w14:textId="424786A4" w:rsidR="00302332" w:rsidRDefault="00302332" w:rsidP="008908E6">
      <w:pPr>
        <w:keepNext/>
        <w:keepLines/>
        <w:spacing w:before="40" w:after="0" w:line="240" w:lineRule="auto"/>
        <w:ind w:left="708" w:right="1418" w:hanging="708"/>
        <w:jc w:val="both"/>
        <w:outlineLvl w:val="3"/>
      </w:pPr>
    </w:p>
    <w:sectPr w:rsidR="00302332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6716A" w14:textId="77777777" w:rsidR="0075009B" w:rsidRDefault="0075009B" w:rsidP="00854362">
      <w:pPr>
        <w:spacing w:after="0" w:line="240" w:lineRule="auto"/>
      </w:pPr>
      <w:r>
        <w:separator/>
      </w:r>
    </w:p>
  </w:endnote>
  <w:endnote w:type="continuationSeparator" w:id="0">
    <w:p w14:paraId="2C712DFC" w14:textId="77777777" w:rsidR="0075009B" w:rsidRDefault="0075009B" w:rsidP="0085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1373B" w14:textId="77777777" w:rsidR="0075009B" w:rsidRDefault="0075009B" w:rsidP="00854362">
      <w:pPr>
        <w:spacing w:after="0" w:line="240" w:lineRule="auto"/>
      </w:pPr>
      <w:r>
        <w:separator/>
      </w:r>
    </w:p>
  </w:footnote>
  <w:footnote w:type="continuationSeparator" w:id="0">
    <w:p w14:paraId="68C4FB0A" w14:textId="77777777" w:rsidR="0075009B" w:rsidRDefault="0075009B" w:rsidP="0085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42D4" w14:textId="1EDBCFDB" w:rsidR="00D4236F" w:rsidRDefault="00D4236F">
    <w:pPr>
      <w:pStyle w:val="Encabezado"/>
    </w:pPr>
    <w:r>
      <w:rPr>
        <w:noProof/>
      </w:rPr>
      <w:drawing>
        <wp:inline distT="0" distB="0" distL="0" distR="0" wp14:anchorId="673F6F63" wp14:editId="177FDA06">
          <wp:extent cx="1438910" cy="359410"/>
          <wp:effectExtent l="0" t="0" r="889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532029" w14:textId="77777777" w:rsidR="00D4236F" w:rsidRDefault="00D423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267DA"/>
    <w:multiLevelType w:val="hybridMultilevel"/>
    <w:tmpl w:val="DB340336"/>
    <w:lvl w:ilvl="0" w:tplc="718EA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CF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A9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3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2D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29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81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29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61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67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72EA55"/>
    <w:rsid w:val="00063BB0"/>
    <w:rsid w:val="000E5F9D"/>
    <w:rsid w:val="000E6562"/>
    <w:rsid w:val="00103098"/>
    <w:rsid w:val="00145072"/>
    <w:rsid w:val="001542DB"/>
    <w:rsid w:val="00173924"/>
    <w:rsid w:val="001D0DF4"/>
    <w:rsid w:val="00232528"/>
    <w:rsid w:val="00256C16"/>
    <w:rsid w:val="002B0A6D"/>
    <w:rsid w:val="002F469F"/>
    <w:rsid w:val="00302332"/>
    <w:rsid w:val="0030442A"/>
    <w:rsid w:val="003511CB"/>
    <w:rsid w:val="00367292"/>
    <w:rsid w:val="003B7BBF"/>
    <w:rsid w:val="0040661B"/>
    <w:rsid w:val="004A0568"/>
    <w:rsid w:val="00517932"/>
    <w:rsid w:val="00537747"/>
    <w:rsid w:val="00550EF2"/>
    <w:rsid w:val="00563059"/>
    <w:rsid w:val="006060B6"/>
    <w:rsid w:val="00606C0F"/>
    <w:rsid w:val="006E4C71"/>
    <w:rsid w:val="0075009B"/>
    <w:rsid w:val="0076668B"/>
    <w:rsid w:val="007E0382"/>
    <w:rsid w:val="00854362"/>
    <w:rsid w:val="00857EA8"/>
    <w:rsid w:val="008668EC"/>
    <w:rsid w:val="008908E6"/>
    <w:rsid w:val="009916D9"/>
    <w:rsid w:val="009E7DB0"/>
    <w:rsid w:val="00A46672"/>
    <w:rsid w:val="00A6420D"/>
    <w:rsid w:val="00A70AF9"/>
    <w:rsid w:val="00A851AE"/>
    <w:rsid w:val="00AA4A1A"/>
    <w:rsid w:val="00AC0ED3"/>
    <w:rsid w:val="00B434E1"/>
    <w:rsid w:val="00B6357D"/>
    <w:rsid w:val="00BA16A0"/>
    <w:rsid w:val="00BB1E3F"/>
    <w:rsid w:val="00BF574D"/>
    <w:rsid w:val="00C21454"/>
    <w:rsid w:val="00C5098C"/>
    <w:rsid w:val="00C5213F"/>
    <w:rsid w:val="00C6139F"/>
    <w:rsid w:val="00C907E9"/>
    <w:rsid w:val="00C9081D"/>
    <w:rsid w:val="00CC02B5"/>
    <w:rsid w:val="00CF0827"/>
    <w:rsid w:val="00D4236F"/>
    <w:rsid w:val="00D62A58"/>
    <w:rsid w:val="00D64952"/>
    <w:rsid w:val="00D72D01"/>
    <w:rsid w:val="00DF3A95"/>
    <w:rsid w:val="00E371A0"/>
    <w:rsid w:val="00E466E8"/>
    <w:rsid w:val="00EC40D6"/>
    <w:rsid w:val="00EC6B80"/>
    <w:rsid w:val="00F055C4"/>
    <w:rsid w:val="00F43C57"/>
    <w:rsid w:val="00F5411F"/>
    <w:rsid w:val="00F560B6"/>
    <w:rsid w:val="00FA106F"/>
    <w:rsid w:val="00FB4C48"/>
    <w:rsid w:val="0116D7A3"/>
    <w:rsid w:val="035C5BA9"/>
    <w:rsid w:val="085DCAE2"/>
    <w:rsid w:val="0981DE01"/>
    <w:rsid w:val="0A0C28CE"/>
    <w:rsid w:val="0A215366"/>
    <w:rsid w:val="0BFE4025"/>
    <w:rsid w:val="0CD2F80C"/>
    <w:rsid w:val="0D0756A4"/>
    <w:rsid w:val="0D43C990"/>
    <w:rsid w:val="0EF83735"/>
    <w:rsid w:val="0F608955"/>
    <w:rsid w:val="10E4B287"/>
    <w:rsid w:val="11C14656"/>
    <w:rsid w:val="130A36F9"/>
    <w:rsid w:val="1310EA1C"/>
    <w:rsid w:val="1399E2B7"/>
    <w:rsid w:val="15163D5A"/>
    <w:rsid w:val="15C71FB9"/>
    <w:rsid w:val="15CF52CE"/>
    <w:rsid w:val="1672C4E1"/>
    <w:rsid w:val="16D134BF"/>
    <w:rsid w:val="175E8634"/>
    <w:rsid w:val="17C12DB7"/>
    <w:rsid w:val="186F9977"/>
    <w:rsid w:val="192FF26D"/>
    <w:rsid w:val="1972EA55"/>
    <w:rsid w:val="1ABCFFB9"/>
    <w:rsid w:val="1C31A501"/>
    <w:rsid w:val="1C9CFC02"/>
    <w:rsid w:val="1DE3350F"/>
    <w:rsid w:val="1F435681"/>
    <w:rsid w:val="1F82DBF4"/>
    <w:rsid w:val="20EBEDC7"/>
    <w:rsid w:val="2475A2BE"/>
    <w:rsid w:val="24D3897D"/>
    <w:rsid w:val="257B3580"/>
    <w:rsid w:val="258ECD71"/>
    <w:rsid w:val="25916549"/>
    <w:rsid w:val="25BF5EEA"/>
    <w:rsid w:val="25ED641E"/>
    <w:rsid w:val="267BCEEE"/>
    <w:rsid w:val="269D460F"/>
    <w:rsid w:val="286CE6F5"/>
    <w:rsid w:val="28BAFC16"/>
    <w:rsid w:val="28EB31BF"/>
    <w:rsid w:val="292504E0"/>
    <w:rsid w:val="294D5401"/>
    <w:rsid w:val="2B42CB01"/>
    <w:rsid w:val="2C6B5CDD"/>
    <w:rsid w:val="2C763D3E"/>
    <w:rsid w:val="2D57E11F"/>
    <w:rsid w:val="2EB66214"/>
    <w:rsid w:val="2F94B5A3"/>
    <w:rsid w:val="2FE67C1B"/>
    <w:rsid w:val="30B975C2"/>
    <w:rsid w:val="32E57EC2"/>
    <w:rsid w:val="3378E0A8"/>
    <w:rsid w:val="339AA1F0"/>
    <w:rsid w:val="33CD37C9"/>
    <w:rsid w:val="34A0C4E1"/>
    <w:rsid w:val="37302AC3"/>
    <w:rsid w:val="383E5E7B"/>
    <w:rsid w:val="39743604"/>
    <w:rsid w:val="399A28A2"/>
    <w:rsid w:val="3CB1C2A9"/>
    <w:rsid w:val="3EA90FCF"/>
    <w:rsid w:val="3F1D3EF9"/>
    <w:rsid w:val="440EDB3D"/>
    <w:rsid w:val="4591A7DD"/>
    <w:rsid w:val="45AAAB9E"/>
    <w:rsid w:val="475BF04E"/>
    <w:rsid w:val="4955D468"/>
    <w:rsid w:val="4957257C"/>
    <w:rsid w:val="4A68A2DF"/>
    <w:rsid w:val="4AC3AB28"/>
    <w:rsid w:val="4ACF4503"/>
    <w:rsid w:val="4B09A20E"/>
    <w:rsid w:val="4C732970"/>
    <w:rsid w:val="4D3AF67C"/>
    <w:rsid w:val="4F571516"/>
    <w:rsid w:val="50EADCE7"/>
    <w:rsid w:val="50FABB3B"/>
    <w:rsid w:val="5208D53A"/>
    <w:rsid w:val="52233E98"/>
    <w:rsid w:val="53F44E72"/>
    <w:rsid w:val="55C8BCEE"/>
    <w:rsid w:val="56ADF488"/>
    <w:rsid w:val="5740FB3C"/>
    <w:rsid w:val="5779DE1E"/>
    <w:rsid w:val="57D4D79E"/>
    <w:rsid w:val="58C7BF95"/>
    <w:rsid w:val="59104437"/>
    <w:rsid w:val="5AA50EF5"/>
    <w:rsid w:val="5D051C04"/>
    <w:rsid w:val="5D902760"/>
    <w:rsid w:val="5D9B30B8"/>
    <w:rsid w:val="5DF3FCCC"/>
    <w:rsid w:val="5FE4F153"/>
    <w:rsid w:val="6221A583"/>
    <w:rsid w:val="6255797E"/>
    <w:rsid w:val="6370B1B6"/>
    <w:rsid w:val="6433B2A2"/>
    <w:rsid w:val="64E29848"/>
    <w:rsid w:val="65A834B7"/>
    <w:rsid w:val="67C275CC"/>
    <w:rsid w:val="68C0E631"/>
    <w:rsid w:val="69A4FB5D"/>
    <w:rsid w:val="6A186B06"/>
    <w:rsid w:val="6A20DC19"/>
    <w:rsid w:val="6A8468A8"/>
    <w:rsid w:val="6C639567"/>
    <w:rsid w:val="6CB5D66D"/>
    <w:rsid w:val="7073D4A5"/>
    <w:rsid w:val="70C3251B"/>
    <w:rsid w:val="7100DF6A"/>
    <w:rsid w:val="7169318A"/>
    <w:rsid w:val="71ED63AC"/>
    <w:rsid w:val="73BDC82A"/>
    <w:rsid w:val="7505B1CC"/>
    <w:rsid w:val="76B676BB"/>
    <w:rsid w:val="77B8E5EC"/>
    <w:rsid w:val="79221E92"/>
    <w:rsid w:val="7AFC73CE"/>
    <w:rsid w:val="7D9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2EA55"/>
  <w15:chartTrackingRefBased/>
  <w15:docId w15:val="{F0E22117-BD62-4DF2-A7CB-99ED8854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1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F4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16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4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11F"/>
  </w:style>
  <w:style w:type="paragraph" w:styleId="Piedepgina">
    <w:name w:val="footer"/>
    <w:basedOn w:val="Normal"/>
    <w:link w:val="PiedepginaCar"/>
    <w:uiPriority w:val="99"/>
    <w:unhideWhenUsed/>
    <w:rsid w:val="00F54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11F"/>
  </w:style>
  <w:style w:type="paragraph" w:styleId="Revisin">
    <w:name w:val="Revision"/>
    <w:hidden/>
    <w:uiPriority w:val="99"/>
    <w:semiHidden/>
    <w:rsid w:val="00D72D0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72D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2D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72D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D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D0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72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Status xmlns="9ff07a45-11f5-479e-a441-cd98a86709fe">Sequía</ContractStatus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XU7P7SY2DP3Q-491014520-187406</_dlc_DocId>
    <_dlc_DocIdUrl xmlns="9ff07a45-11f5-479e-a441-cd98a86709fe">
      <Url>https://allianzms.sharepoint.com/teams/ES0006-3163019/_layouts/15/DocIdRedir.aspx?ID=XU7P7SY2DP3Q-491014520-187406</Url>
      <Description>XU7P7SY2DP3Q-491014520-187406</Description>
    </_dlc_DocIdUrl>
    <_dlc_DocIdPersistId xmlns="9ff07a45-11f5-479e-a441-cd98a86709fe" xsi:nil="true"/>
    <DossierStatus xmlns="9ff07a45-11f5-479e-a441-cd98a86709fe"/>
    <MailPreviewData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55E86A-2E17-4267-BC23-9D76F81CF7E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1983D8FE-2243-46FC-A603-687BD7A76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8F990-8733-4909-9AC2-4E1221F29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EBB49-5C5D-4999-963B-6F5850D606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 (ALLIANZ COMPANIA DE SEGUROS Y REASEGUROS S A)</dc:creator>
  <cp:keywords/>
  <dc:description/>
  <cp:lastModifiedBy>Rodriguez Mosquera, Sonia (Allianz Compania de Seguros y Reaseguros S.A.)</cp:lastModifiedBy>
  <cp:revision>2</cp:revision>
  <dcterms:created xsi:type="dcterms:W3CDTF">2024-11-15T08:53:00Z</dcterms:created>
  <dcterms:modified xsi:type="dcterms:W3CDTF">2024-11-15T08:53:00Z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2022-01-19T14:12:14Z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94573668-fc7b-4652-92d9-0e49ccc4a274</vt:lpwstr>
  </property>
  <property fmtid="{D5CDD505-2E9C-101B-9397-08002B2CF9AE}" pid="8" name="MSIP_Label_ce5f591a-3248-43e9-9b70-1ad50135772d_ContentBits">
    <vt:lpwstr>0</vt:lpwstr>
  </property>
  <property fmtid="{D5CDD505-2E9C-101B-9397-08002B2CF9AE}" pid="9" name="ContentTypeId">
    <vt:lpwstr>0x010100125D78925D459C4792E0AB097CA57A8700468EE264CD9B964F9956379036DA5620</vt:lpwstr>
  </property>
  <property fmtid="{D5CDD505-2E9C-101B-9397-08002B2CF9AE}" pid="10" name="Metadata">
    <vt:lpwstr>b7988hualzfd</vt:lpwstr>
  </property>
  <property fmtid="{D5CDD505-2E9C-101B-9397-08002B2CF9AE}" pid="11" name="OfficeDocumentSecurity_19012022174840">
    <vt:lpwstr>19012022174840;e006418;0</vt:lpwstr>
  </property>
  <property fmtid="{D5CDD505-2E9C-101B-9397-08002B2CF9AE}" pid="12" name="OfficeDocumentSecurity_19012022175916">
    <vt:lpwstr>19012022175916;e006418;0</vt:lpwstr>
  </property>
  <property fmtid="{D5CDD505-2E9C-101B-9397-08002B2CF9AE}" pid="13" name="OfficeDocumentSecurity_19012022180837">
    <vt:lpwstr>19012022180837;e006418;0</vt:lpwstr>
  </property>
  <property fmtid="{D5CDD505-2E9C-101B-9397-08002B2CF9AE}" pid="14" name="OfficeDocumentSecurity_19012022180916">
    <vt:lpwstr>19012022180916;e006418;0</vt:lpwstr>
  </property>
  <property fmtid="{D5CDD505-2E9C-101B-9397-08002B2CF9AE}" pid="15" name="OfficeDocumentSecurity_19012022181344">
    <vt:lpwstr>19012022181344;e006418;0</vt:lpwstr>
  </property>
  <property fmtid="{D5CDD505-2E9C-101B-9397-08002B2CF9AE}" pid="16" name="OfficeDocumentSecurity_19012022181753">
    <vt:lpwstr>19012022181753;e006418;0</vt:lpwstr>
  </property>
  <property fmtid="{D5CDD505-2E9C-101B-9397-08002B2CF9AE}" pid="17" name="OfficeDocumentSecurity_19012022181820">
    <vt:lpwstr>19012022181820;e006418;0</vt:lpwstr>
  </property>
  <property fmtid="{D5CDD505-2E9C-101B-9397-08002B2CF9AE}" pid="18" name="OfficeDocumentSecurity_19012022183713">
    <vt:lpwstr>19012022183713;e006418;0</vt:lpwstr>
  </property>
  <property fmtid="{D5CDD505-2E9C-101B-9397-08002B2CF9AE}" pid="19" name="MediaServiceImageTags">
    <vt:lpwstr/>
  </property>
  <property fmtid="{D5CDD505-2E9C-101B-9397-08002B2CF9AE}" pid="20" name="_dlc_DocIdItemGuid">
    <vt:lpwstr>b4c97ffe-e889-4e35-aaa6-fb144ff65e13</vt:lpwstr>
  </property>
  <property fmtid="{D5CDD505-2E9C-101B-9397-08002B2CF9AE}" pid="21" name="Document_Class">
    <vt:lpwstr/>
  </property>
  <property fmtid="{D5CDD505-2E9C-101B-9397-08002B2CF9AE}" pid="22" name="Contract_Type">
    <vt:lpwstr/>
  </property>
  <property fmtid="{D5CDD505-2E9C-101B-9397-08002B2CF9AE}" pid="23" name="DossierDepartment">
    <vt:lpwstr/>
  </property>
  <property fmtid="{D5CDD505-2E9C-101B-9397-08002B2CF9AE}" pid="24" name="AllianzContractingParties">
    <vt:lpwstr/>
  </property>
  <property fmtid="{D5CDD505-2E9C-101B-9397-08002B2CF9AE}" pid="25" name="b0fe84444e894ab98172082a3d0e58f8">
    <vt:lpwstr/>
  </property>
  <property fmtid="{D5CDD505-2E9C-101B-9397-08002B2CF9AE}" pid="26" name="iccd162ff52447b49ab8f5fd8f2cec1e">
    <vt:lpwstr/>
  </property>
  <property fmtid="{D5CDD505-2E9C-101B-9397-08002B2CF9AE}" pid="27" name="_AdHocReviewCycleID">
    <vt:i4>1546836775</vt:i4>
  </property>
  <property fmtid="{D5CDD505-2E9C-101B-9397-08002B2CF9AE}" pid="28" name="_NewReviewCycle">
    <vt:lpwstr/>
  </property>
  <property fmtid="{D5CDD505-2E9C-101B-9397-08002B2CF9AE}" pid="29" name="_EmailSubject">
    <vt:lpwstr>Nota de prensa GPW</vt:lpwstr>
  </property>
  <property fmtid="{D5CDD505-2E9C-101B-9397-08002B2CF9AE}" pid="30" name="_AuthorEmail">
    <vt:lpwstr>laura.llaurado@allianz.com</vt:lpwstr>
  </property>
  <property fmtid="{D5CDD505-2E9C-101B-9397-08002B2CF9AE}" pid="31" name="_AuthorEmailDisplayName">
    <vt:lpwstr>Llaurado, Laura (Allianz Commercial)</vt:lpwstr>
  </property>
  <property fmtid="{D5CDD505-2E9C-101B-9397-08002B2CF9AE}" pid="32" name="_ReviewingToolsShownOnce">
    <vt:lpwstr/>
  </property>
</Properties>
</file>