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98D4" w14:textId="1ECE9ED0" w:rsidR="00302332" w:rsidRDefault="00302332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4110F631" w14:textId="5F2A5CB0" w:rsidR="00302332" w:rsidRDefault="73BDC82A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56ADF488">
        <w:rPr>
          <w:rFonts w:ascii="Segoe UI" w:eastAsia="Segoe UI" w:hAnsi="Segoe UI" w:cs="Segoe UI"/>
          <w:color w:val="000000" w:themeColor="text1"/>
          <w:sz w:val="28"/>
          <w:szCs w:val="28"/>
        </w:rPr>
        <w:t>Allianz Seguros</w:t>
      </w:r>
    </w:p>
    <w:p w14:paraId="509640FC" w14:textId="713302E0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6EC7C8C3" w14:textId="0BE5F671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6ADF488">
        <w:rPr>
          <w:rFonts w:ascii="Arial" w:eastAsia="Arial" w:hAnsi="Arial" w:cs="Arial"/>
          <w:color w:val="000000" w:themeColor="text1"/>
          <w:sz w:val="20"/>
          <w:szCs w:val="20"/>
        </w:rPr>
        <w:t>Comunicación Corporativa</w:t>
      </w:r>
    </w:p>
    <w:p w14:paraId="346EF966" w14:textId="18369783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</w:p>
    <w:p w14:paraId="02F9B323" w14:textId="3F0A2219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7F7F7F" w:themeColor="text1" w:themeTint="80"/>
          <w:sz w:val="44"/>
          <w:szCs w:val="44"/>
        </w:rPr>
      </w:pPr>
      <w:r w:rsidRPr="56ADF488">
        <w:rPr>
          <w:rFonts w:ascii="Arial" w:eastAsia="Arial" w:hAnsi="Arial" w:cs="Arial"/>
          <w:color w:val="7F7F7F" w:themeColor="text1" w:themeTint="80"/>
          <w:sz w:val="44"/>
          <w:szCs w:val="44"/>
        </w:rPr>
        <w:t>Nota de Prensa</w:t>
      </w:r>
    </w:p>
    <w:p w14:paraId="262A4D86" w14:textId="5DB398FC" w:rsidR="00302332" w:rsidRDefault="00302332" w:rsidP="56ADF488">
      <w:pPr>
        <w:spacing w:after="0" w:line="240" w:lineRule="auto"/>
        <w:ind w:firstLine="708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E9A367" w14:textId="528FC6BD" w:rsidR="00302332" w:rsidRDefault="00302332" w:rsidP="56ADF488">
      <w:pPr>
        <w:spacing w:after="0" w:line="240" w:lineRule="auto"/>
        <w:ind w:left="540" w:right="283" w:hanging="682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204F7D4C" w14:textId="61130CB0" w:rsidR="00302332" w:rsidRDefault="73BDC82A" w:rsidP="56ADF488">
      <w:pPr>
        <w:spacing w:after="0" w:line="240" w:lineRule="auto"/>
        <w:ind w:left="540" w:right="567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56ADF48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Allianz</w:t>
      </w:r>
      <w:r w:rsidR="009003E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se sitúa</w:t>
      </w:r>
      <w:r w:rsidRPr="56ADF48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9003E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en el top diez de </w:t>
      </w:r>
      <w:bookmarkStart w:id="0" w:name="_Hlk156208458"/>
      <w:r w:rsidR="009003E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mejores empresas para trabajar, </w:t>
      </w:r>
      <w:r w:rsidR="005428EE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en</w:t>
      </w:r>
      <w:r w:rsidR="009003E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el ranking de </w:t>
      </w:r>
      <w:r w:rsidR="0031581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Top </w:t>
      </w:r>
      <w:proofErr w:type="spellStart"/>
      <w:r w:rsidR="0031581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Employers</w:t>
      </w:r>
      <w:proofErr w:type="spellEnd"/>
      <w:r w:rsidR="00315818" w:rsidRPr="56ADF48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F574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bookmarkEnd w:id="0"/>
    </w:p>
    <w:p w14:paraId="2E93FEF9" w14:textId="5D945AFA" w:rsidR="00302332" w:rsidRDefault="00302332" w:rsidP="56ADF488">
      <w:pPr>
        <w:spacing w:after="0" w:line="240" w:lineRule="auto"/>
        <w:ind w:left="540" w:right="944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38F6FEDA" w14:textId="0E1E6FCC" w:rsidR="009003E1" w:rsidRPr="001976BB" w:rsidRDefault="009003E1" w:rsidP="00706151">
      <w:pPr>
        <w:pStyle w:val="Prrafodelista"/>
        <w:numPr>
          <w:ilvl w:val="0"/>
          <w:numId w:val="1"/>
        </w:numPr>
        <w:spacing w:after="0" w:line="360" w:lineRule="auto"/>
        <w:ind w:right="566"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1976BB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La compañía consigue la certificación Top </w:t>
      </w:r>
      <w:proofErr w:type="spellStart"/>
      <w:r w:rsidRPr="001976BB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Employers</w:t>
      </w:r>
      <w:proofErr w:type="spellEnd"/>
      <w:r w:rsidRPr="001976BB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por sexto año consecutivo</w:t>
      </w:r>
      <w:r w:rsidR="001976BB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 y se posiciona en el puesto número ocho</w:t>
      </w:r>
    </w:p>
    <w:p w14:paraId="66655964" w14:textId="7B20EB7C" w:rsidR="00302332" w:rsidRPr="0030442A" w:rsidRDefault="73BDC82A" w:rsidP="00706151">
      <w:pPr>
        <w:pStyle w:val="Prrafodelista"/>
        <w:numPr>
          <w:ilvl w:val="0"/>
          <w:numId w:val="1"/>
        </w:numPr>
        <w:spacing w:after="0" w:line="360" w:lineRule="auto"/>
        <w:ind w:right="566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La certificación de “Top </w:t>
      </w:r>
      <w:proofErr w:type="spellStart"/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Employer</w:t>
      </w:r>
      <w:proofErr w:type="spellEnd"/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” acredita que Allianz </w:t>
      </w:r>
      <w:r w:rsidR="0030442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Seguros </w:t>
      </w:r>
      <w:r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ofrece las mejores condiciones a sus empleados/as </w:t>
      </w:r>
    </w:p>
    <w:p w14:paraId="411BCBA7" w14:textId="323BAA49" w:rsidR="00302332" w:rsidRDefault="00B71936" w:rsidP="56ADF488">
      <w:pPr>
        <w:pStyle w:val="Prrafodelista"/>
        <w:numPr>
          <w:ilvl w:val="0"/>
          <w:numId w:val="1"/>
        </w:numPr>
        <w:spacing w:after="0" w:line="360" w:lineRule="auto"/>
        <w:ind w:right="566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="0981DE01" w:rsidRPr="56ADF48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 compañía </w:t>
      </w:r>
      <w:r w:rsidR="009003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pone un foco especial</w:t>
      </w:r>
      <w:r w:rsidR="003F592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en contribuir al bienestar</w:t>
      </w:r>
      <w:r w:rsidR="00EF16E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físico y emocional del equipo</w:t>
      </w:r>
    </w:p>
    <w:p w14:paraId="7ADF9F89" w14:textId="52FBE121" w:rsidR="00302332" w:rsidRDefault="00302332" w:rsidP="56ADF488">
      <w:pPr>
        <w:spacing w:after="0" w:line="360" w:lineRule="auto"/>
        <w:ind w:left="540" w:right="941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928315" w14:textId="458FA525" w:rsidR="00302332" w:rsidRDefault="73BDC82A" w:rsidP="56ADF488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Madrid, </w:t>
      </w:r>
      <w:r w:rsidR="00D57CE6">
        <w:rPr>
          <w:rFonts w:ascii="Arial" w:eastAsia="Arial" w:hAnsi="Arial" w:cs="Arial"/>
          <w:b/>
          <w:bCs/>
          <w:color w:val="000000" w:themeColor="text1"/>
        </w:rPr>
        <w:t xml:space="preserve">18 </w:t>
      </w:r>
      <w:r w:rsidRPr="56ADF488">
        <w:rPr>
          <w:rFonts w:ascii="Arial" w:eastAsia="Arial" w:hAnsi="Arial" w:cs="Arial"/>
          <w:b/>
          <w:bCs/>
          <w:color w:val="000000" w:themeColor="text1"/>
        </w:rPr>
        <w:t>de enero de 202</w:t>
      </w:r>
      <w:r w:rsidR="00D57CE6">
        <w:rPr>
          <w:rFonts w:ascii="Arial" w:eastAsia="Arial" w:hAnsi="Arial" w:cs="Arial"/>
          <w:b/>
          <w:bCs/>
          <w:color w:val="000000" w:themeColor="text1"/>
        </w:rPr>
        <w:t>4</w:t>
      </w:r>
      <w:r w:rsidRPr="56ADF488">
        <w:rPr>
          <w:rFonts w:ascii="Arial" w:eastAsia="Arial" w:hAnsi="Arial" w:cs="Arial"/>
          <w:b/>
          <w:bCs/>
          <w:color w:val="000000" w:themeColor="text1"/>
        </w:rPr>
        <w:t>.-</w:t>
      </w:r>
      <w:r w:rsidRPr="56ADF488">
        <w:rPr>
          <w:rFonts w:ascii="Arial" w:eastAsia="Arial" w:hAnsi="Arial" w:cs="Arial"/>
          <w:color w:val="000000" w:themeColor="text1"/>
        </w:rPr>
        <w:t xml:space="preserve"> Allianz Seguros </w:t>
      </w:r>
      <w:r w:rsidR="0CD2F80C" w:rsidRPr="56ADF488">
        <w:rPr>
          <w:rFonts w:ascii="Arial" w:eastAsia="Arial" w:hAnsi="Arial" w:cs="Arial"/>
          <w:color w:val="000000" w:themeColor="text1"/>
        </w:rPr>
        <w:t xml:space="preserve">se </w:t>
      </w:r>
      <w:r w:rsidR="009003E1">
        <w:rPr>
          <w:rFonts w:ascii="Arial" w:eastAsia="Arial" w:hAnsi="Arial" w:cs="Arial"/>
          <w:color w:val="000000" w:themeColor="text1"/>
        </w:rPr>
        <w:t>sitúa en el puesto número ocho del ranking</w:t>
      </w:r>
      <w:r w:rsidR="0CD2F80C" w:rsidRPr="56ADF488">
        <w:rPr>
          <w:rFonts w:ascii="Arial" w:eastAsia="Arial" w:hAnsi="Arial" w:cs="Arial"/>
          <w:color w:val="000000" w:themeColor="text1"/>
        </w:rPr>
        <w:t xml:space="preserve"> </w:t>
      </w:r>
      <w:r w:rsidR="001D0DF4">
        <w:rPr>
          <w:rFonts w:ascii="Arial" w:eastAsia="Arial" w:hAnsi="Arial" w:cs="Arial"/>
          <w:color w:val="000000" w:themeColor="text1"/>
        </w:rPr>
        <w:t xml:space="preserve">Top </w:t>
      </w:r>
      <w:proofErr w:type="spellStart"/>
      <w:r w:rsidR="001D0DF4">
        <w:rPr>
          <w:rFonts w:ascii="Arial" w:eastAsia="Arial" w:hAnsi="Arial" w:cs="Arial"/>
          <w:color w:val="000000" w:themeColor="text1"/>
        </w:rPr>
        <w:t>Employers</w:t>
      </w:r>
      <w:proofErr w:type="spellEnd"/>
      <w:r w:rsidR="001D0DF4">
        <w:rPr>
          <w:rFonts w:ascii="Arial" w:eastAsia="Arial" w:hAnsi="Arial" w:cs="Arial"/>
          <w:color w:val="000000" w:themeColor="text1"/>
        </w:rPr>
        <w:t xml:space="preserve"> </w:t>
      </w:r>
      <w:r w:rsidR="0CD2F80C" w:rsidRPr="56ADF488">
        <w:rPr>
          <w:rFonts w:ascii="Arial" w:eastAsia="Arial" w:hAnsi="Arial" w:cs="Arial"/>
          <w:color w:val="000000" w:themeColor="text1"/>
        </w:rPr>
        <w:t>de las mejores empresas para trabajar</w:t>
      </w:r>
      <w:r w:rsidR="001D0DF4">
        <w:rPr>
          <w:rFonts w:ascii="Arial" w:eastAsia="Arial" w:hAnsi="Arial" w:cs="Arial"/>
          <w:color w:val="000000" w:themeColor="text1"/>
        </w:rPr>
        <w:t xml:space="preserve"> en España.</w:t>
      </w:r>
      <w:r w:rsidR="0030442A" w:rsidRPr="0030442A">
        <w:rPr>
          <w:rFonts w:ascii="Arial" w:eastAsia="Arial" w:hAnsi="Arial" w:cs="Arial"/>
          <w:color w:val="000000" w:themeColor="text1"/>
        </w:rPr>
        <w:t xml:space="preserve"> </w:t>
      </w:r>
      <w:r w:rsidR="0030442A">
        <w:rPr>
          <w:rFonts w:ascii="Arial" w:eastAsia="Arial" w:hAnsi="Arial" w:cs="Arial"/>
          <w:color w:val="000000" w:themeColor="text1"/>
        </w:rPr>
        <w:t>La compañía obt</w:t>
      </w:r>
      <w:r w:rsidR="00E1294F">
        <w:rPr>
          <w:rFonts w:ascii="Arial" w:eastAsia="Arial" w:hAnsi="Arial" w:cs="Arial"/>
          <w:color w:val="000000" w:themeColor="text1"/>
        </w:rPr>
        <w:t>iene</w:t>
      </w:r>
      <w:r w:rsidR="0030442A">
        <w:rPr>
          <w:rFonts w:ascii="Arial" w:eastAsia="Arial" w:hAnsi="Arial" w:cs="Arial"/>
          <w:color w:val="000000" w:themeColor="text1"/>
        </w:rPr>
        <w:t xml:space="preserve"> la certificación Top </w:t>
      </w:r>
      <w:proofErr w:type="spellStart"/>
      <w:r w:rsidR="0030442A">
        <w:rPr>
          <w:rFonts w:ascii="Arial" w:eastAsia="Arial" w:hAnsi="Arial" w:cs="Arial"/>
          <w:color w:val="000000" w:themeColor="text1"/>
        </w:rPr>
        <w:t>Employer</w:t>
      </w:r>
      <w:proofErr w:type="spellEnd"/>
      <w:r w:rsidR="0030442A">
        <w:rPr>
          <w:rFonts w:ascii="Arial" w:eastAsia="Arial" w:hAnsi="Arial" w:cs="Arial"/>
          <w:color w:val="000000" w:themeColor="text1"/>
        </w:rPr>
        <w:t xml:space="preserve"> por </w:t>
      </w:r>
      <w:r w:rsidR="009003E1">
        <w:rPr>
          <w:rFonts w:ascii="Arial" w:eastAsia="Arial" w:hAnsi="Arial" w:cs="Arial"/>
          <w:color w:val="000000" w:themeColor="text1"/>
        </w:rPr>
        <w:t>sexto</w:t>
      </w:r>
      <w:r w:rsidR="0030442A">
        <w:rPr>
          <w:rFonts w:ascii="Arial" w:eastAsia="Arial" w:hAnsi="Arial" w:cs="Arial"/>
          <w:color w:val="000000" w:themeColor="text1"/>
        </w:rPr>
        <w:t xml:space="preserve"> año consecutivo.</w:t>
      </w:r>
    </w:p>
    <w:p w14:paraId="13AEADB0" w14:textId="79ED0A1B" w:rsidR="00302332" w:rsidRDefault="00302332" w:rsidP="56ADF488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2A1DBA51" w14:textId="2D868605" w:rsidR="005B3CE1" w:rsidRDefault="005B3CE1" w:rsidP="004415D6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Allianz </w:t>
      </w:r>
      <w:r w:rsidR="009003E1">
        <w:rPr>
          <w:rFonts w:ascii="Arial" w:eastAsia="Arial" w:hAnsi="Arial" w:cs="Arial"/>
          <w:color w:val="000000" w:themeColor="text1"/>
        </w:rPr>
        <w:t>se encuentra inmersa en un</w:t>
      </w:r>
      <w:r>
        <w:rPr>
          <w:rFonts w:ascii="Arial" w:eastAsia="Arial" w:hAnsi="Arial" w:cs="Arial"/>
          <w:color w:val="000000" w:themeColor="text1"/>
        </w:rPr>
        <w:t xml:space="preserve"> proceso de transformación </w:t>
      </w:r>
      <w:r w:rsidR="009003E1">
        <w:rPr>
          <w:rFonts w:ascii="Arial" w:eastAsia="Arial" w:hAnsi="Arial" w:cs="Arial"/>
          <w:color w:val="000000" w:themeColor="text1"/>
        </w:rPr>
        <w:t xml:space="preserve">cuyo objetivo es convertir a la compañía en la referencia del mercado y la entidad </w:t>
      </w:r>
      <w:r w:rsidRPr="0087173C">
        <w:rPr>
          <w:rFonts w:ascii="Arial" w:eastAsia="Arial" w:hAnsi="Arial" w:cs="Arial"/>
        </w:rPr>
        <w:t xml:space="preserve">elegida por todos: empleados, clientes y mediadores. </w:t>
      </w:r>
      <w:r w:rsidR="009003E1">
        <w:rPr>
          <w:rFonts w:ascii="Arial" w:eastAsia="Arial" w:hAnsi="Arial" w:cs="Arial"/>
        </w:rPr>
        <w:t>S</w:t>
      </w:r>
      <w:r w:rsidRPr="0087173C">
        <w:rPr>
          <w:rFonts w:ascii="Arial" w:eastAsia="Arial" w:hAnsi="Arial" w:cs="Arial"/>
        </w:rPr>
        <w:t>u equipo</w:t>
      </w:r>
      <w:r w:rsidR="009003E1">
        <w:rPr>
          <w:rFonts w:ascii="Arial" w:eastAsia="Arial" w:hAnsi="Arial" w:cs="Arial"/>
        </w:rPr>
        <w:t xml:space="preserve"> est</w:t>
      </w:r>
      <w:r w:rsidR="0049348E">
        <w:rPr>
          <w:rFonts w:ascii="Arial" w:eastAsia="Arial" w:hAnsi="Arial" w:cs="Arial"/>
        </w:rPr>
        <w:t>á</w:t>
      </w:r>
      <w:r w:rsidR="00291A0B">
        <w:rPr>
          <w:rFonts w:ascii="Arial" w:eastAsia="Arial" w:hAnsi="Arial" w:cs="Arial"/>
        </w:rPr>
        <w:t>,</w:t>
      </w:r>
      <w:r w:rsidR="009003E1">
        <w:rPr>
          <w:rFonts w:ascii="Arial" w:eastAsia="Arial" w:hAnsi="Arial" w:cs="Arial"/>
        </w:rPr>
        <w:t xml:space="preserve"> más que nunca</w:t>
      </w:r>
      <w:r w:rsidR="00291A0B">
        <w:rPr>
          <w:rFonts w:ascii="Arial" w:eastAsia="Arial" w:hAnsi="Arial" w:cs="Arial"/>
        </w:rPr>
        <w:t>,</w:t>
      </w:r>
      <w:r w:rsidRPr="0087173C">
        <w:rPr>
          <w:rFonts w:ascii="Arial" w:eastAsia="Arial" w:hAnsi="Arial" w:cs="Arial"/>
        </w:rPr>
        <w:t xml:space="preserve"> en el centro de esta transformación </w:t>
      </w:r>
      <w:r w:rsidR="009003E1">
        <w:rPr>
          <w:rFonts w:ascii="Arial" w:eastAsia="Arial" w:hAnsi="Arial" w:cs="Arial"/>
        </w:rPr>
        <w:t xml:space="preserve">algo que se plasma en las </w:t>
      </w:r>
      <w:r w:rsidR="00291A0B">
        <w:rPr>
          <w:rFonts w:ascii="Arial" w:eastAsia="Arial" w:hAnsi="Arial" w:cs="Arial"/>
        </w:rPr>
        <w:t xml:space="preserve">diversas </w:t>
      </w:r>
      <w:r w:rsidR="009003E1">
        <w:rPr>
          <w:rFonts w:ascii="Arial" w:eastAsia="Arial" w:hAnsi="Arial" w:cs="Arial"/>
        </w:rPr>
        <w:t xml:space="preserve">iniciativas </w:t>
      </w:r>
      <w:r w:rsidR="00291A0B">
        <w:rPr>
          <w:rFonts w:ascii="Arial" w:eastAsia="Arial" w:hAnsi="Arial" w:cs="Arial"/>
        </w:rPr>
        <w:t>implementadas</w:t>
      </w:r>
      <w:r w:rsidR="009003E1">
        <w:rPr>
          <w:rFonts w:ascii="Arial" w:eastAsia="Arial" w:hAnsi="Arial" w:cs="Arial"/>
        </w:rPr>
        <w:t xml:space="preserve"> </w:t>
      </w:r>
      <w:proofErr w:type="gramStart"/>
      <w:r w:rsidR="009003E1">
        <w:rPr>
          <w:rFonts w:ascii="Arial" w:eastAsia="Arial" w:hAnsi="Arial" w:cs="Arial"/>
        </w:rPr>
        <w:t xml:space="preserve">para </w:t>
      </w:r>
      <w:r w:rsidRPr="0087173C">
        <w:rPr>
          <w:rFonts w:ascii="Arial" w:eastAsia="Arial" w:hAnsi="Arial" w:cs="Arial"/>
        </w:rPr>
        <w:t xml:space="preserve"> que</w:t>
      </w:r>
      <w:proofErr w:type="gramEnd"/>
      <w:r w:rsidRPr="0087173C">
        <w:rPr>
          <w:rFonts w:ascii="Arial" w:eastAsia="Arial" w:hAnsi="Arial" w:cs="Arial"/>
        </w:rPr>
        <w:t xml:space="preserve"> l</w:t>
      </w:r>
      <w:r w:rsidR="0049348E">
        <w:rPr>
          <w:rFonts w:ascii="Arial" w:eastAsia="Arial" w:hAnsi="Arial" w:cs="Arial"/>
        </w:rPr>
        <w:t xml:space="preserve">as personas </w:t>
      </w:r>
      <w:r w:rsidRPr="0087173C">
        <w:rPr>
          <w:rFonts w:ascii="Arial" w:eastAsia="Arial" w:hAnsi="Arial" w:cs="Arial"/>
        </w:rPr>
        <w:t xml:space="preserve">sean artífices del cambio.  </w:t>
      </w:r>
    </w:p>
    <w:p w14:paraId="2008D285" w14:textId="77777777" w:rsidR="004415D6" w:rsidRDefault="004415D6" w:rsidP="001976BB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15063F70" w14:textId="4F63E798" w:rsidR="007252EA" w:rsidRPr="00D356D4" w:rsidRDefault="007252EA" w:rsidP="007252EA">
      <w:pPr>
        <w:spacing w:line="276" w:lineRule="auto"/>
        <w:ind w:right="425"/>
        <w:jc w:val="both"/>
        <w:rPr>
          <w:rFonts w:ascii="Arial" w:hAnsi="Arial" w:cs="Arial"/>
        </w:rPr>
      </w:pPr>
      <w:r w:rsidRPr="00D356D4">
        <w:rPr>
          <w:rFonts w:ascii="Arial" w:hAnsi="Arial" w:cs="Arial"/>
          <w:i/>
          <w:iCs/>
        </w:rPr>
        <w:t>“</w:t>
      </w:r>
      <w:r w:rsidR="00900667" w:rsidRPr="00900667">
        <w:rPr>
          <w:rFonts w:ascii="Arial" w:hAnsi="Arial" w:cs="Arial"/>
          <w:i/>
          <w:iCs/>
        </w:rPr>
        <w:t xml:space="preserve">“Estamos muy orgullosos de haber sido calificados por Top </w:t>
      </w:r>
      <w:proofErr w:type="spellStart"/>
      <w:r w:rsidR="00900667" w:rsidRPr="00900667">
        <w:rPr>
          <w:rFonts w:ascii="Arial" w:hAnsi="Arial" w:cs="Arial"/>
          <w:i/>
          <w:iCs/>
        </w:rPr>
        <w:t>Employers</w:t>
      </w:r>
      <w:proofErr w:type="spellEnd"/>
      <w:r w:rsidR="00900667" w:rsidRPr="00900667">
        <w:rPr>
          <w:rFonts w:ascii="Arial" w:hAnsi="Arial" w:cs="Arial"/>
          <w:i/>
          <w:iCs/>
        </w:rPr>
        <w:t xml:space="preserve"> como una de las diez mejores empresas para trabajar en España. Nos ocupamos, de manera continuada y con determinación, de todos aquellos aspectos que permiten el desarrollo del talento, el liderazgo inclusivo</w:t>
      </w:r>
      <w:r w:rsidR="00774DEF">
        <w:rPr>
          <w:rFonts w:ascii="Arial" w:hAnsi="Arial" w:cs="Arial"/>
          <w:i/>
          <w:iCs/>
        </w:rPr>
        <w:t xml:space="preserve"> y</w:t>
      </w:r>
      <w:r w:rsidR="00900667" w:rsidRPr="00900667">
        <w:rPr>
          <w:rFonts w:ascii="Arial" w:hAnsi="Arial" w:cs="Arial"/>
          <w:i/>
          <w:iCs/>
        </w:rPr>
        <w:t xml:space="preserve"> el bienestar integral de nuestros colaboradores</w:t>
      </w:r>
      <w:r w:rsidR="00774DEF">
        <w:rPr>
          <w:rFonts w:ascii="Arial" w:hAnsi="Arial" w:cs="Arial"/>
          <w:i/>
          <w:iCs/>
        </w:rPr>
        <w:t>, todo ello</w:t>
      </w:r>
      <w:r w:rsidR="00900667" w:rsidRPr="00900667">
        <w:rPr>
          <w:rFonts w:ascii="Arial" w:hAnsi="Arial" w:cs="Arial"/>
          <w:i/>
          <w:iCs/>
        </w:rPr>
        <w:t xml:space="preserve"> en una cultura que abraza el cambio y la innovación</w:t>
      </w:r>
      <w:r w:rsidR="00887F52">
        <w:rPr>
          <w:rFonts w:ascii="Arial" w:hAnsi="Arial" w:cs="Arial"/>
          <w:i/>
          <w:iCs/>
        </w:rPr>
        <w:t>.</w:t>
      </w:r>
      <w:r w:rsidR="00900667" w:rsidRPr="00900667">
        <w:rPr>
          <w:rFonts w:ascii="Arial" w:hAnsi="Arial" w:cs="Arial"/>
          <w:i/>
          <w:iCs/>
        </w:rPr>
        <w:t xml:space="preserve"> Ver cómo todo el esfuerzo y entusiasmo que volcamos en estos y otros aspectos se ve reconocido, es un impulso para todos”, </w:t>
      </w:r>
      <w:r w:rsidRPr="00D356D4">
        <w:rPr>
          <w:rFonts w:ascii="Arial" w:hAnsi="Arial" w:cs="Arial"/>
        </w:rPr>
        <w:t xml:space="preserve">señala Catalina Guevara, </w:t>
      </w:r>
      <w:proofErr w:type="gramStart"/>
      <w:r w:rsidRPr="00D356D4">
        <w:rPr>
          <w:rFonts w:ascii="Arial" w:hAnsi="Arial" w:cs="Arial"/>
        </w:rPr>
        <w:t>Directora</w:t>
      </w:r>
      <w:proofErr w:type="gramEnd"/>
      <w:r w:rsidRPr="00D356D4">
        <w:rPr>
          <w:rFonts w:ascii="Arial" w:hAnsi="Arial" w:cs="Arial"/>
        </w:rPr>
        <w:t xml:space="preserve"> de People &amp; Culture de Allianz Seguros. </w:t>
      </w:r>
    </w:p>
    <w:p w14:paraId="7872B3B2" w14:textId="7A460937" w:rsidR="007252EA" w:rsidRPr="00D356D4" w:rsidRDefault="007252EA" w:rsidP="007252EA">
      <w:pPr>
        <w:spacing w:line="276" w:lineRule="auto"/>
        <w:ind w:right="424"/>
        <w:jc w:val="both"/>
        <w:rPr>
          <w:rFonts w:ascii="Calibri" w:hAnsi="Calibri" w:cs="Calibri"/>
        </w:rPr>
      </w:pPr>
      <w:r w:rsidRPr="00FF0FBD">
        <w:rPr>
          <w:rFonts w:ascii="Arial" w:hAnsi="Arial" w:cs="Arial"/>
        </w:rPr>
        <w:t xml:space="preserve">Allianz destaca </w:t>
      </w:r>
      <w:r w:rsidR="004415D6" w:rsidRPr="00FF0FBD">
        <w:rPr>
          <w:rFonts w:ascii="Arial" w:hAnsi="Arial" w:cs="Arial"/>
        </w:rPr>
        <w:t xml:space="preserve">un año más en </w:t>
      </w:r>
      <w:r w:rsidRPr="00FF0FBD">
        <w:rPr>
          <w:rFonts w:ascii="Arial" w:hAnsi="Arial" w:cs="Arial"/>
        </w:rPr>
        <w:t>su apuesta por la importancia del </w:t>
      </w:r>
      <w:r w:rsidRPr="00FF0FBD">
        <w:rPr>
          <w:rFonts w:ascii="Arial" w:hAnsi="Arial" w:cs="Arial"/>
          <w:b/>
          <w:bCs/>
        </w:rPr>
        <w:t>bienestar</w:t>
      </w:r>
      <w:r w:rsidRPr="00FF0FBD">
        <w:rPr>
          <w:rFonts w:ascii="Arial" w:hAnsi="Arial" w:cs="Arial"/>
        </w:rPr>
        <w:t> físico y psicológico de sus empleados/as, la flexibilidad y trabajo híbrido, y la digitalización.</w:t>
      </w:r>
      <w:r w:rsidR="004415D6" w:rsidRPr="00291A0B">
        <w:rPr>
          <w:rFonts w:ascii="Arial" w:hAnsi="Arial" w:cs="Arial"/>
        </w:rPr>
        <w:t xml:space="preserve"> Además, </w:t>
      </w:r>
      <w:r w:rsidR="001976BB" w:rsidRPr="00291A0B">
        <w:rPr>
          <w:rFonts w:ascii="Arial" w:hAnsi="Arial" w:cs="Arial"/>
        </w:rPr>
        <w:t>la compañía incrementa, año tras año, su valoración en aspectos como la atracción de talento, el compromiso o el desarrollo de los equipos, entre otros. En todas estas dimensiones Allianz supera ampliamente la media del mercado.</w:t>
      </w:r>
    </w:p>
    <w:p w14:paraId="76F03E48" w14:textId="332F2F40" w:rsidR="00302332" w:rsidRDefault="73BDC82A" w:rsidP="0030442A">
      <w:pPr>
        <w:ind w:right="379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lastRenderedPageBreak/>
        <w:t xml:space="preserve">El certificado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acredita que</w:t>
      </w:r>
      <w:r w:rsidR="269D460F" w:rsidRPr="56ADF488">
        <w:rPr>
          <w:rFonts w:ascii="Arial" w:eastAsia="Arial" w:hAnsi="Arial" w:cs="Arial"/>
          <w:color w:val="000000" w:themeColor="text1"/>
        </w:rPr>
        <w:t xml:space="preserve"> </w:t>
      </w:r>
      <w:r w:rsidR="00CF0827">
        <w:rPr>
          <w:rFonts w:ascii="Arial" w:eastAsia="Arial" w:hAnsi="Arial" w:cs="Arial"/>
          <w:color w:val="000000" w:themeColor="text1"/>
        </w:rPr>
        <w:t>l</w:t>
      </w:r>
      <w:r w:rsidR="269D460F" w:rsidRPr="56ADF488">
        <w:rPr>
          <w:rFonts w:ascii="Arial" w:eastAsia="Arial" w:hAnsi="Arial" w:cs="Arial"/>
          <w:color w:val="000000" w:themeColor="text1"/>
        </w:rPr>
        <w:t xml:space="preserve">a compañía ha superado exhaustivo un análisis en el que se evalúan y auditan 600 prácticas de desarrollo de personas en 10 áreas: estrategia de talento, planificación de la plantilla, adquisición de talento, </w:t>
      </w:r>
      <w:proofErr w:type="spellStart"/>
      <w:r w:rsidR="269D460F" w:rsidRPr="56ADF488">
        <w:rPr>
          <w:rFonts w:ascii="Arial" w:eastAsia="Arial" w:hAnsi="Arial" w:cs="Arial"/>
          <w:color w:val="000000" w:themeColor="text1"/>
        </w:rPr>
        <w:t>on-boarding</w:t>
      </w:r>
      <w:proofErr w:type="spellEnd"/>
      <w:r w:rsidR="269D460F" w:rsidRPr="56ADF488">
        <w:rPr>
          <w:rFonts w:ascii="Arial" w:eastAsia="Arial" w:hAnsi="Arial" w:cs="Arial"/>
          <w:color w:val="000000" w:themeColor="text1"/>
        </w:rPr>
        <w:t xml:space="preserve">, aprendizaje y desarrollo, gestión del desempeño, desarrollo del liderazgo, gestión de carrera y sucesión, compensación y beneficios y cultura. </w:t>
      </w:r>
    </w:p>
    <w:p w14:paraId="22DDF1C8" w14:textId="59F8A67F" w:rsidR="00302332" w:rsidRDefault="00302332" w:rsidP="56ADF488">
      <w:pPr>
        <w:spacing w:after="0" w:line="276" w:lineRule="auto"/>
        <w:ind w:right="424"/>
        <w:jc w:val="both"/>
        <w:rPr>
          <w:rFonts w:ascii="Arial" w:eastAsia="Arial" w:hAnsi="Arial" w:cs="Arial"/>
          <w:color w:val="000000" w:themeColor="text1"/>
        </w:rPr>
      </w:pPr>
    </w:p>
    <w:p w14:paraId="5CBB0971" w14:textId="4062EC1D" w:rsidR="00302332" w:rsidRDefault="73BDC82A" w:rsidP="56ADF488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Sobre el sello Top </w:t>
      </w:r>
      <w:proofErr w:type="spellStart"/>
      <w:r w:rsidRPr="56ADF488">
        <w:rPr>
          <w:rFonts w:ascii="Arial" w:eastAsia="Arial" w:hAnsi="Arial" w:cs="Arial"/>
          <w:b/>
          <w:bCs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56ADF488">
        <w:rPr>
          <w:rFonts w:ascii="Arial" w:eastAsia="Arial" w:hAnsi="Arial" w:cs="Arial"/>
          <w:b/>
          <w:bCs/>
          <w:color w:val="000000" w:themeColor="text1"/>
        </w:rPr>
        <w:t>Institute</w:t>
      </w:r>
      <w:proofErr w:type="spellEnd"/>
    </w:p>
    <w:p w14:paraId="2D0D2505" w14:textId="4EA93B41" w:rsidR="00302332" w:rsidRDefault="00302332" w:rsidP="56ADF488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C77D63" w14:textId="27C407B3" w:rsidR="00302332" w:rsidRDefault="73BDC82A" w:rsidP="56ADF488">
      <w:pPr>
        <w:spacing w:after="0" w:line="276" w:lineRule="auto"/>
        <w:ind w:right="346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El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Institute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se dedica a ayudar a que las organizaciones con las mejores condiciones para los empleados/as sean reconocidas como los mejores empleadores. Se fundó en 1991 desde entonces ha reconocido a más de 1.600 compañías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en 119 países/ de 5 continentes. Además de identificar y destacar a los mejores empleadores de todo el mundo, el análisis de Top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Employers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Institute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profundiza en la gestión de RRHH, </w:t>
      </w:r>
      <w:proofErr w:type="gramStart"/>
      <w:r w:rsidRPr="56ADF488">
        <w:rPr>
          <w:rFonts w:ascii="Arial" w:eastAsia="Arial" w:hAnsi="Arial" w:cs="Arial"/>
          <w:color w:val="000000" w:themeColor="text1"/>
        </w:rPr>
        <w:t>en  las</w:t>
      </w:r>
      <w:proofErr w:type="gramEnd"/>
      <w:r w:rsidRPr="56ADF488">
        <w:rPr>
          <w:rFonts w:ascii="Arial" w:eastAsia="Arial" w:hAnsi="Arial" w:cs="Arial"/>
          <w:color w:val="000000" w:themeColor="text1"/>
        </w:rPr>
        <w:t xml:space="preserve"> condiciones que se ofrecen a los empleados/as y proporciona tendencias y datos de máxima utilidad para desarrollar a las organizaciones.</w:t>
      </w:r>
    </w:p>
    <w:p w14:paraId="6B72AE6E" w14:textId="4C223363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1096E410" w14:textId="5B3F0BF2" w:rsidR="00302332" w:rsidRDefault="73BDC82A" w:rsidP="56ADF488">
      <w:pPr>
        <w:spacing w:after="20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>Sobre Allianz Seguros</w:t>
      </w:r>
    </w:p>
    <w:p w14:paraId="138D0BA2" w14:textId="62A2F4BE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291A0B">
        <w:rPr>
          <w:rFonts w:ascii="Arial" w:eastAsia="Arial" w:hAnsi="Arial" w:cs="Arial"/>
          <w:color w:val="000000" w:themeColor="text1"/>
        </w:rPr>
        <w:t>0</w:t>
      </w:r>
      <w:r w:rsidRPr="56ADF488">
        <w:rPr>
          <w:rFonts w:ascii="Arial" w:eastAsia="Arial" w:hAnsi="Arial" w:cs="Arial"/>
          <w:color w:val="000000" w:themeColor="text1"/>
        </w:rPr>
        <w:t>00 empleados y su red de más de 1</w:t>
      </w:r>
      <w:r w:rsidR="00291A0B">
        <w:rPr>
          <w:rFonts w:ascii="Arial" w:eastAsia="Arial" w:hAnsi="Arial" w:cs="Arial"/>
          <w:color w:val="000000" w:themeColor="text1"/>
        </w:rPr>
        <w:t>0</w:t>
      </w:r>
      <w:r w:rsidRPr="56ADF488">
        <w:rPr>
          <w:rFonts w:ascii="Arial" w:eastAsia="Arial" w:hAnsi="Arial" w:cs="Arial"/>
          <w:color w:val="000000" w:themeColor="text1"/>
        </w:rPr>
        <w:t xml:space="preserve">.000 mediadores), y tecnológica (mediante herramientas como su aplicación para smartphones y tabletas, su área de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eCliente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de la web corporativa, y sus más de 500.000 SMS enviados anualmente a sus clientes). </w:t>
      </w:r>
    </w:p>
    <w:p w14:paraId="715151F4" w14:textId="137758B4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35218E65" w14:textId="29355BFA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Multirriesgos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para empresas y comercios, hasta las soluciones aseguradoras personalizadas más complejas.</w:t>
      </w:r>
    </w:p>
    <w:p w14:paraId="415FF356" w14:textId="1D3DF1AB" w:rsidR="00302332" w:rsidRDefault="00302332" w:rsidP="56ADF488">
      <w:pPr>
        <w:spacing w:after="0" w:line="240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0616F62E" w14:textId="34C06E2B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4975CC4" w14:textId="0B07AEFC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Para más información:</w:t>
      </w:r>
    </w:p>
    <w:p w14:paraId="7C74A87A" w14:textId="2096FB80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Sonia Rodríguez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color w:val="000000" w:themeColor="text1"/>
        </w:rPr>
        <w:t>Tel. 91.596.00.66</w:t>
      </w:r>
    </w:p>
    <w:p w14:paraId="3FE2A21E" w14:textId="0F265056" w:rsidR="00302332" w:rsidRDefault="73BDC82A" w:rsidP="56ADF488">
      <w:pPr>
        <w:pStyle w:val="Ttulo4"/>
        <w:spacing w:line="240" w:lineRule="auto"/>
        <w:ind w:left="708" w:right="1418" w:hanging="708"/>
        <w:jc w:val="both"/>
        <w:rPr>
          <w:rFonts w:ascii="Arial" w:eastAsia="Arial" w:hAnsi="Arial" w:cs="Arial"/>
          <w:i w:val="0"/>
          <w:iCs w:val="0"/>
          <w:color w:val="000000" w:themeColor="text1"/>
        </w:rPr>
      </w:pP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 xml:space="preserve">Laura Gallach 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>Tel. 93.228.67.83</w:t>
      </w:r>
    </w:p>
    <w:p w14:paraId="1A694EC2" w14:textId="1F32F71D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0AF1CB0" w14:textId="021151BA" w:rsidR="00302332" w:rsidRDefault="00302332" w:rsidP="56ADF488">
      <w:pPr>
        <w:spacing w:after="0" w:line="240" w:lineRule="auto"/>
        <w:ind w:right="425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70E84010" w14:textId="077E8167" w:rsidR="00302332" w:rsidRDefault="73BDC82A" w:rsidP="56ADF488">
      <w:pPr>
        <w:spacing w:after="0" w:line="240" w:lineRule="auto"/>
        <w:ind w:right="141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56ADF488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Estas aseveraciones quedan, como siempre, sujetas a la siguiente </w:t>
      </w:r>
      <w:hyperlink r:id="rId11">
        <w:r w:rsidRPr="56ADF488">
          <w:rPr>
            <w:rStyle w:val="Hipervnculo"/>
            <w:rFonts w:ascii="Segoe UI" w:eastAsia="Segoe UI" w:hAnsi="Segoe UI" w:cs="Segoe UI"/>
            <w:b/>
            <w:bCs/>
            <w:sz w:val="18"/>
            <w:szCs w:val="18"/>
          </w:rPr>
          <w:t>nota preventiva</w:t>
        </w:r>
      </w:hyperlink>
      <w:r w:rsidRPr="56ADF488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.</w:t>
      </w:r>
    </w:p>
    <w:p w14:paraId="5086FA18" w14:textId="24A509E8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C1A07E2" w14:textId="424786A4" w:rsidR="00302332" w:rsidRDefault="00302332" w:rsidP="56ADF488"/>
    <w:sectPr w:rsidR="003023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6E67" w14:textId="77777777" w:rsidR="008A6337" w:rsidRDefault="008A6337" w:rsidP="00854362">
      <w:pPr>
        <w:spacing w:after="0" w:line="240" w:lineRule="auto"/>
      </w:pPr>
      <w:r>
        <w:separator/>
      </w:r>
    </w:p>
  </w:endnote>
  <w:endnote w:type="continuationSeparator" w:id="0">
    <w:p w14:paraId="76D4BCF8" w14:textId="77777777" w:rsidR="008A6337" w:rsidRDefault="008A6337" w:rsidP="0085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1B3A" w14:textId="77777777" w:rsidR="008A6337" w:rsidRDefault="008A6337" w:rsidP="00854362">
      <w:pPr>
        <w:spacing w:after="0" w:line="240" w:lineRule="auto"/>
      </w:pPr>
      <w:r>
        <w:separator/>
      </w:r>
    </w:p>
  </w:footnote>
  <w:footnote w:type="continuationSeparator" w:id="0">
    <w:p w14:paraId="2B28F43C" w14:textId="77777777" w:rsidR="008A6337" w:rsidRDefault="008A6337" w:rsidP="0085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7DA"/>
    <w:multiLevelType w:val="hybridMultilevel"/>
    <w:tmpl w:val="DB340336"/>
    <w:lvl w:ilvl="0" w:tplc="718EA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F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A9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9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29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61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2EA55"/>
    <w:rsid w:val="0000012C"/>
    <w:rsid w:val="00027D2C"/>
    <w:rsid w:val="00047366"/>
    <w:rsid w:val="00051524"/>
    <w:rsid w:val="00065FF0"/>
    <w:rsid w:val="0008370F"/>
    <w:rsid w:val="0008416C"/>
    <w:rsid w:val="000A407E"/>
    <w:rsid w:val="000C7580"/>
    <w:rsid w:val="000E1238"/>
    <w:rsid w:val="000E6562"/>
    <w:rsid w:val="000F0FD9"/>
    <w:rsid w:val="0010669A"/>
    <w:rsid w:val="00113930"/>
    <w:rsid w:val="00175E40"/>
    <w:rsid w:val="001976BB"/>
    <w:rsid w:val="001B7E43"/>
    <w:rsid w:val="001C0ADC"/>
    <w:rsid w:val="001D0DF4"/>
    <w:rsid w:val="00200F43"/>
    <w:rsid w:val="00206F96"/>
    <w:rsid w:val="00240A4A"/>
    <w:rsid w:val="00241D57"/>
    <w:rsid w:val="002659A7"/>
    <w:rsid w:val="00267B39"/>
    <w:rsid w:val="00291A0B"/>
    <w:rsid w:val="00293C2E"/>
    <w:rsid w:val="002A03C5"/>
    <w:rsid w:val="002B46C5"/>
    <w:rsid w:val="002F0519"/>
    <w:rsid w:val="00302332"/>
    <w:rsid w:val="0030442A"/>
    <w:rsid w:val="00312517"/>
    <w:rsid w:val="00315818"/>
    <w:rsid w:val="003C7F06"/>
    <w:rsid w:val="003F5924"/>
    <w:rsid w:val="003F6506"/>
    <w:rsid w:val="00430676"/>
    <w:rsid w:val="004415D6"/>
    <w:rsid w:val="00453F22"/>
    <w:rsid w:val="00455259"/>
    <w:rsid w:val="0049348E"/>
    <w:rsid w:val="004B78CC"/>
    <w:rsid w:val="004C093B"/>
    <w:rsid w:val="004E7EB2"/>
    <w:rsid w:val="004F7952"/>
    <w:rsid w:val="005257B0"/>
    <w:rsid w:val="005428EE"/>
    <w:rsid w:val="00563059"/>
    <w:rsid w:val="00566969"/>
    <w:rsid w:val="00580344"/>
    <w:rsid w:val="005859E5"/>
    <w:rsid w:val="005A6929"/>
    <w:rsid w:val="005B3CE1"/>
    <w:rsid w:val="005D3174"/>
    <w:rsid w:val="00636922"/>
    <w:rsid w:val="006407EE"/>
    <w:rsid w:val="006A2023"/>
    <w:rsid w:val="006B39BD"/>
    <w:rsid w:val="006B440A"/>
    <w:rsid w:val="006D73E8"/>
    <w:rsid w:val="006E3D7B"/>
    <w:rsid w:val="00706151"/>
    <w:rsid w:val="007252EA"/>
    <w:rsid w:val="007349C9"/>
    <w:rsid w:val="00757E69"/>
    <w:rsid w:val="00774DEF"/>
    <w:rsid w:val="007863A3"/>
    <w:rsid w:val="007D099A"/>
    <w:rsid w:val="0081075D"/>
    <w:rsid w:val="00854362"/>
    <w:rsid w:val="008668EC"/>
    <w:rsid w:val="0087173C"/>
    <w:rsid w:val="00884C97"/>
    <w:rsid w:val="00887F52"/>
    <w:rsid w:val="008A59E9"/>
    <w:rsid w:val="008A6337"/>
    <w:rsid w:val="008C2687"/>
    <w:rsid w:val="009003E1"/>
    <w:rsid w:val="00900667"/>
    <w:rsid w:val="00950951"/>
    <w:rsid w:val="00995D7E"/>
    <w:rsid w:val="009A057B"/>
    <w:rsid w:val="009A40D9"/>
    <w:rsid w:val="009A6692"/>
    <w:rsid w:val="009F379C"/>
    <w:rsid w:val="00A23568"/>
    <w:rsid w:val="00A24ECD"/>
    <w:rsid w:val="00A57453"/>
    <w:rsid w:val="00A90390"/>
    <w:rsid w:val="00A942CF"/>
    <w:rsid w:val="00B71936"/>
    <w:rsid w:val="00BB1E3F"/>
    <w:rsid w:val="00BC1874"/>
    <w:rsid w:val="00BD534B"/>
    <w:rsid w:val="00BE2CB3"/>
    <w:rsid w:val="00BF574D"/>
    <w:rsid w:val="00C036D0"/>
    <w:rsid w:val="00C07D91"/>
    <w:rsid w:val="00C10E73"/>
    <w:rsid w:val="00C30874"/>
    <w:rsid w:val="00C31481"/>
    <w:rsid w:val="00C5098C"/>
    <w:rsid w:val="00C80E8A"/>
    <w:rsid w:val="00CD381A"/>
    <w:rsid w:val="00CF0827"/>
    <w:rsid w:val="00D1261B"/>
    <w:rsid w:val="00D356D4"/>
    <w:rsid w:val="00D57CE6"/>
    <w:rsid w:val="00D64FAF"/>
    <w:rsid w:val="00D65B4E"/>
    <w:rsid w:val="00DA2BDD"/>
    <w:rsid w:val="00DB404B"/>
    <w:rsid w:val="00E0238F"/>
    <w:rsid w:val="00E10D28"/>
    <w:rsid w:val="00E1294F"/>
    <w:rsid w:val="00E13A2F"/>
    <w:rsid w:val="00E27A65"/>
    <w:rsid w:val="00EB0E6C"/>
    <w:rsid w:val="00EC6BE7"/>
    <w:rsid w:val="00EE4FF3"/>
    <w:rsid w:val="00EF16E6"/>
    <w:rsid w:val="00F07F16"/>
    <w:rsid w:val="00F344AC"/>
    <w:rsid w:val="00F75781"/>
    <w:rsid w:val="00FA3CE9"/>
    <w:rsid w:val="00FC2BE2"/>
    <w:rsid w:val="00FF0FBD"/>
    <w:rsid w:val="0116D7A3"/>
    <w:rsid w:val="035C5BA9"/>
    <w:rsid w:val="085DCAE2"/>
    <w:rsid w:val="0981DE01"/>
    <w:rsid w:val="0A0C28CE"/>
    <w:rsid w:val="0A215366"/>
    <w:rsid w:val="0BFE4025"/>
    <w:rsid w:val="0CD2F80C"/>
    <w:rsid w:val="0D0756A4"/>
    <w:rsid w:val="0D43C990"/>
    <w:rsid w:val="0EF83735"/>
    <w:rsid w:val="0F608955"/>
    <w:rsid w:val="10E4B287"/>
    <w:rsid w:val="11C14656"/>
    <w:rsid w:val="130A36F9"/>
    <w:rsid w:val="1310EA1C"/>
    <w:rsid w:val="1399E2B7"/>
    <w:rsid w:val="15163D5A"/>
    <w:rsid w:val="15C71FB9"/>
    <w:rsid w:val="15CF52CE"/>
    <w:rsid w:val="1672C4E1"/>
    <w:rsid w:val="16D134BF"/>
    <w:rsid w:val="175E8634"/>
    <w:rsid w:val="17C12DB7"/>
    <w:rsid w:val="186F9977"/>
    <w:rsid w:val="192FF26D"/>
    <w:rsid w:val="1972EA55"/>
    <w:rsid w:val="1ABCFFB9"/>
    <w:rsid w:val="1C31A501"/>
    <w:rsid w:val="1C9CFC02"/>
    <w:rsid w:val="1DE3350F"/>
    <w:rsid w:val="1F435681"/>
    <w:rsid w:val="1F82DBF4"/>
    <w:rsid w:val="20EBEDC7"/>
    <w:rsid w:val="2475A2BE"/>
    <w:rsid w:val="24D3897D"/>
    <w:rsid w:val="257B3580"/>
    <w:rsid w:val="258ECD71"/>
    <w:rsid w:val="25916549"/>
    <w:rsid w:val="25BF5EEA"/>
    <w:rsid w:val="25ED641E"/>
    <w:rsid w:val="267BCEEE"/>
    <w:rsid w:val="269D460F"/>
    <w:rsid w:val="286CE6F5"/>
    <w:rsid w:val="28BAFC16"/>
    <w:rsid w:val="28EB31BF"/>
    <w:rsid w:val="292504E0"/>
    <w:rsid w:val="294D5401"/>
    <w:rsid w:val="2B42CB01"/>
    <w:rsid w:val="2C6B5CDD"/>
    <w:rsid w:val="2C763D3E"/>
    <w:rsid w:val="2D57E11F"/>
    <w:rsid w:val="2EB66214"/>
    <w:rsid w:val="2F94B5A3"/>
    <w:rsid w:val="2FE67C1B"/>
    <w:rsid w:val="30B975C2"/>
    <w:rsid w:val="32E57EC2"/>
    <w:rsid w:val="3378E0A8"/>
    <w:rsid w:val="339AA1F0"/>
    <w:rsid w:val="33CD37C9"/>
    <w:rsid w:val="34A0C4E1"/>
    <w:rsid w:val="37302AC3"/>
    <w:rsid w:val="383E5E7B"/>
    <w:rsid w:val="39743604"/>
    <w:rsid w:val="399A28A2"/>
    <w:rsid w:val="3CB1C2A9"/>
    <w:rsid w:val="3EA90FCF"/>
    <w:rsid w:val="3F1D3EF9"/>
    <w:rsid w:val="440EDB3D"/>
    <w:rsid w:val="4591A7DD"/>
    <w:rsid w:val="45AAAB9E"/>
    <w:rsid w:val="475BF04E"/>
    <w:rsid w:val="4955D468"/>
    <w:rsid w:val="4957257C"/>
    <w:rsid w:val="4A68A2DF"/>
    <w:rsid w:val="4AC3AB28"/>
    <w:rsid w:val="4ACF4503"/>
    <w:rsid w:val="4B09A20E"/>
    <w:rsid w:val="4C732970"/>
    <w:rsid w:val="4D3AF67C"/>
    <w:rsid w:val="4F571516"/>
    <w:rsid w:val="50EADCE7"/>
    <w:rsid w:val="50FABB3B"/>
    <w:rsid w:val="5208D53A"/>
    <w:rsid w:val="52233E98"/>
    <w:rsid w:val="53F44E72"/>
    <w:rsid w:val="55C8BCEE"/>
    <w:rsid w:val="56ADF488"/>
    <w:rsid w:val="5740FB3C"/>
    <w:rsid w:val="5779DE1E"/>
    <w:rsid w:val="57D4D79E"/>
    <w:rsid w:val="58C7BF95"/>
    <w:rsid w:val="59104437"/>
    <w:rsid w:val="5AA50EF5"/>
    <w:rsid w:val="5D051C04"/>
    <w:rsid w:val="5D902760"/>
    <w:rsid w:val="5D9B30B8"/>
    <w:rsid w:val="5DF3FCCC"/>
    <w:rsid w:val="5FE4F153"/>
    <w:rsid w:val="6221A583"/>
    <w:rsid w:val="6255797E"/>
    <w:rsid w:val="6370B1B6"/>
    <w:rsid w:val="6433B2A2"/>
    <w:rsid w:val="64E29848"/>
    <w:rsid w:val="65A834B7"/>
    <w:rsid w:val="67C275CC"/>
    <w:rsid w:val="68C0E631"/>
    <w:rsid w:val="69A4FB5D"/>
    <w:rsid w:val="6A186B06"/>
    <w:rsid w:val="6A20DC19"/>
    <w:rsid w:val="6A8468A8"/>
    <w:rsid w:val="6C639567"/>
    <w:rsid w:val="6CB5D66D"/>
    <w:rsid w:val="7073D4A5"/>
    <w:rsid w:val="70C3251B"/>
    <w:rsid w:val="7100DF6A"/>
    <w:rsid w:val="7169318A"/>
    <w:rsid w:val="71ED63AC"/>
    <w:rsid w:val="73BDC82A"/>
    <w:rsid w:val="7505B1CC"/>
    <w:rsid w:val="76B676BB"/>
    <w:rsid w:val="77B8E5EC"/>
    <w:rsid w:val="79221E92"/>
    <w:rsid w:val="7AFC73CE"/>
    <w:rsid w:val="7D9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2EA55"/>
  <w15:chartTrackingRefBased/>
  <w15:docId w15:val="{F0E22117-BD62-4DF2-A7CB-99ED8854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4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57E6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A66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6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6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6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69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40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tatus xmlns="9ff07a45-11f5-479e-a441-cd98a86709fe">Sequía</ContractStatus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XU7P7SY2DP3Q-491014520-171575</_dlc_DocId>
    <_dlc_DocIdUrl xmlns="9ff07a45-11f5-479e-a441-cd98a86709fe">
      <Url>https://allianzms.sharepoint.com/teams/ES0006-3163019/_layouts/15/DocIdRedir.aspx?ID=XU7P7SY2DP3Q-491014520-171575</Url>
      <Description>XU7P7SY2DP3Q-491014520-171575</Description>
    </_dlc_DocIdUrl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be3680bea61b74ef15d7c8245e0389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633a7d7015168c8f2af5ecf50db4657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940E4-7C78-40A3-9D5F-0197D2EE23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55E86A-2E17-4267-BC23-9D76F81CF7E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D2BE1609-D261-4C78-965F-08411894D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3D8FE-2243-46FC-A603-687BD7A76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 (ALLIANZ COMPANIA DE SEGUROS Y REASEGUROS S A)</dc:creator>
  <cp:keywords/>
  <dc:description/>
  <cp:lastModifiedBy>Rodriguez Mosquera, Sonia (Allianz Compania de Seguros y Reaseguros S.A.)</cp:lastModifiedBy>
  <cp:revision>4</cp:revision>
  <dcterms:created xsi:type="dcterms:W3CDTF">2024-01-18T18:13:00Z</dcterms:created>
  <dcterms:modified xsi:type="dcterms:W3CDTF">2024-01-18T18:19:00Z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2022-01-19T14:12:14Z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94573668-fc7b-4652-92d9-0e49ccc4a274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0x010100125D78925D459C4792E0AB097CA57A8700468EE264CD9B964F9956379036DA5620</vt:lpwstr>
  </property>
  <property fmtid="{D5CDD505-2E9C-101B-9397-08002B2CF9AE}" pid="10" name="Metadata">
    <vt:lpwstr>b7988hualzfd</vt:lpwstr>
  </property>
  <property fmtid="{D5CDD505-2E9C-101B-9397-08002B2CF9AE}" pid="11" name="OfficeDocumentSecurity_19012022174840">
    <vt:lpwstr>19012022174840;e006418;0</vt:lpwstr>
  </property>
  <property fmtid="{D5CDD505-2E9C-101B-9397-08002B2CF9AE}" pid="12" name="OfficeDocumentSecurity_19012022175916">
    <vt:lpwstr>19012022175916;e006418;0</vt:lpwstr>
  </property>
  <property fmtid="{D5CDD505-2E9C-101B-9397-08002B2CF9AE}" pid="13" name="OfficeDocumentSecurity_19012022180837">
    <vt:lpwstr>19012022180837;e006418;0</vt:lpwstr>
  </property>
  <property fmtid="{D5CDD505-2E9C-101B-9397-08002B2CF9AE}" pid="14" name="OfficeDocumentSecurity_19012022180916">
    <vt:lpwstr>19012022180916;e006418;0</vt:lpwstr>
  </property>
  <property fmtid="{D5CDD505-2E9C-101B-9397-08002B2CF9AE}" pid="15" name="OfficeDocumentSecurity_19012022181344">
    <vt:lpwstr>19012022181344;e006418;0</vt:lpwstr>
  </property>
  <property fmtid="{D5CDD505-2E9C-101B-9397-08002B2CF9AE}" pid="16" name="OfficeDocumentSecurity_19012022181753">
    <vt:lpwstr>19012022181753;e006418;0</vt:lpwstr>
  </property>
  <property fmtid="{D5CDD505-2E9C-101B-9397-08002B2CF9AE}" pid="17" name="OfficeDocumentSecurity_19012022181820">
    <vt:lpwstr>19012022181820;e006418;0</vt:lpwstr>
  </property>
  <property fmtid="{D5CDD505-2E9C-101B-9397-08002B2CF9AE}" pid="18" name="OfficeDocumentSecurity_19012022183713">
    <vt:lpwstr>19012022183713;e006418;0</vt:lpwstr>
  </property>
  <property fmtid="{D5CDD505-2E9C-101B-9397-08002B2CF9AE}" pid="19" name="MediaServiceImageTags">
    <vt:lpwstr/>
  </property>
  <property fmtid="{D5CDD505-2E9C-101B-9397-08002B2CF9AE}" pid="20" name="_dlc_DocIdItemGuid">
    <vt:lpwstr>ab2369a6-37b3-4956-98ab-4123006e5b3c</vt:lpwstr>
  </property>
  <property fmtid="{D5CDD505-2E9C-101B-9397-08002B2CF9AE}" pid="21" name="DossierDepartment">
    <vt:lpwstr/>
  </property>
  <property fmtid="{D5CDD505-2E9C-101B-9397-08002B2CF9AE}" pid="22" name="AllianzContractingParties">
    <vt:lpwstr/>
  </property>
  <property fmtid="{D5CDD505-2E9C-101B-9397-08002B2CF9AE}" pid="23" name="Contract_Type">
    <vt:lpwstr/>
  </property>
  <property fmtid="{D5CDD505-2E9C-101B-9397-08002B2CF9AE}" pid="24" name="b0fe84444e894ab98172082a3d0e58f8">
    <vt:lpwstr/>
  </property>
  <property fmtid="{D5CDD505-2E9C-101B-9397-08002B2CF9AE}" pid="25" name="Document_Class">
    <vt:lpwstr/>
  </property>
  <property fmtid="{D5CDD505-2E9C-101B-9397-08002B2CF9AE}" pid="26" name="iccd162ff52447b49ab8f5fd8f2cec1e">
    <vt:lpwstr/>
  </property>
</Properties>
</file>