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F5D84" w14:textId="17BDB96A" w:rsidR="00230132" w:rsidRPr="0034286C" w:rsidRDefault="00660C0C" w:rsidP="00BA3CBC">
      <w:pPr>
        <w:pStyle w:val="AZ-PCompany"/>
        <w:rPr>
          <w:lang w:val="es-ES"/>
        </w:rPr>
      </w:pPr>
      <w:r w:rsidRPr="0034286C">
        <w:rPr>
          <w:lang w:val="es-ES"/>
        </w:rPr>
        <w:t>ALLIANZ S</w:t>
      </w:r>
      <w:r w:rsidR="0034286C" w:rsidRPr="0034286C">
        <w:rPr>
          <w:lang w:val="es-ES"/>
        </w:rPr>
        <w:t>EGUROS</w:t>
      </w:r>
      <w:r w:rsidRPr="0034286C">
        <w:rPr>
          <w:lang w:val="es-ES"/>
        </w:rPr>
        <w:t xml:space="preserve"> | </w:t>
      </w:r>
      <w:r w:rsidR="0034286C" w:rsidRPr="0034286C">
        <w:rPr>
          <w:lang w:val="es-ES"/>
        </w:rPr>
        <w:t>COMUNICACIÓN CORPORATIVA</w:t>
      </w:r>
    </w:p>
    <w:p w14:paraId="57934361" w14:textId="54ABE355" w:rsidR="00592898" w:rsidRPr="00601657" w:rsidRDefault="009E2B08" w:rsidP="003236DD">
      <w:pPr>
        <w:pStyle w:val="StyleHeading1"/>
        <w:rPr>
          <w:lang w:val="es-ES"/>
        </w:rPr>
      </w:pPr>
      <w:r w:rsidRPr="4432E7B8">
        <w:rPr>
          <w:color w:val="13A0D3" w:themeColor="accent4"/>
          <w:lang w:val="es-ES"/>
        </w:rPr>
        <w:t>Nota de prensa</w:t>
      </w:r>
      <w:r w:rsidR="00660C0C" w:rsidRPr="4432E7B8">
        <w:rPr>
          <w:color w:val="13A0D3" w:themeColor="accent4"/>
          <w:lang w:val="es-ES"/>
        </w:rPr>
        <w:t>:</w:t>
      </w:r>
      <w:r w:rsidR="00BC5D21" w:rsidRPr="4432E7B8">
        <w:rPr>
          <w:color w:val="13A0D3" w:themeColor="accent4"/>
          <w:lang w:val="es-ES"/>
        </w:rPr>
        <w:t xml:space="preserve"> </w:t>
      </w:r>
      <w:r w:rsidR="6F37D91F" w:rsidRPr="4432E7B8">
        <w:rPr>
          <w:lang w:val="es-ES"/>
        </w:rPr>
        <w:t>Allianz impulsa un modelo de protección integral que combina ahorro, salud y hogar en una única estrategia</w:t>
      </w:r>
      <w:r w:rsidR="00BC5D21" w:rsidRPr="4432E7B8">
        <w:rPr>
          <w:lang w:val="es-ES"/>
        </w:rPr>
        <w:t xml:space="preserve"> </w:t>
      </w:r>
      <w:r w:rsidR="00E547E3" w:rsidRPr="4432E7B8">
        <w:rPr>
          <w:lang w:val="es-ES"/>
        </w:rPr>
        <w:t xml:space="preserve"> </w:t>
      </w:r>
    </w:p>
    <w:sdt>
      <w:sdtPr>
        <w:rPr>
          <w:lang w:val="es-ES"/>
        </w:rPr>
        <w:alias w:val="Veröffentlichungsdatum"/>
        <w:tag w:val=""/>
        <w:id w:val="-492718318"/>
        <w:dataBinding w:prefixMappings="xmlns:ns0='http://schemas.microsoft.com/office/2006/coverPageProps' " w:xpath="/ns0:CoverPageProperties[1]/ns0:PublishDate[1]" w:storeItemID="{55AF091B-3C7A-41E3-B477-F2FDAA23CFDA}"/>
        <w:date>
          <w:dateFormat w:val="d MMMM yyyy"/>
          <w:lid w:val="de-DE"/>
          <w:storeMappedDataAs w:val="dateTime"/>
          <w:calendar w:val="gregorian"/>
        </w:date>
      </w:sdtPr>
      <w:sdtEndPr/>
      <w:sdtContent>
        <w:p w14:paraId="478CC371" w14:textId="7586DF5D" w:rsidR="00083FD4" w:rsidRPr="00E547E3" w:rsidRDefault="00741891" w:rsidP="00685E57">
          <w:pPr>
            <w:pStyle w:val="AZ-PDate"/>
            <w:framePr w:wrap="around"/>
            <w:rPr>
              <w:lang w:val="es-ES"/>
            </w:rPr>
          </w:pPr>
          <w:r>
            <w:rPr>
              <w:lang w:val="es-ES"/>
            </w:rPr>
            <w:t>19</w:t>
          </w:r>
          <w:r w:rsidR="004861A7">
            <w:rPr>
              <w:lang w:val="es-ES"/>
            </w:rPr>
            <w:t xml:space="preserve"> Octu</w:t>
          </w:r>
          <w:r w:rsidR="000D3A8D">
            <w:rPr>
              <w:lang w:val="es-ES"/>
            </w:rPr>
            <w:t>br</w:t>
          </w:r>
          <w:r w:rsidR="000D3A8D" w:rsidRPr="00E547E3">
            <w:rPr>
              <w:lang w:val="es-ES"/>
            </w:rPr>
            <w:t>e de 2026</w:t>
          </w:r>
        </w:p>
      </w:sdtContent>
    </w:sdt>
    <w:sdt>
      <w:sdtPr>
        <w:rPr>
          <w:lang w:val="es-ES"/>
        </w:rPr>
        <w:alias w:val="Firmenadresse"/>
        <w:tag w:val=""/>
        <w:id w:val="-1798450592"/>
        <w:placeholder>
          <w:docPart w:val="E7C3E0BF40AB4F609A145EB81F54600E"/>
        </w:placeholder>
        <w:dataBinding w:prefixMappings="xmlns:ns0='http://schemas.microsoft.com/office/2006/coverPageProps' " w:xpath="/ns0:CoverPageProperties[1]/ns0:CompanyAddress[1]" w:storeItemID="{55AF091B-3C7A-41E3-B477-F2FDAA23CFDA}"/>
        <w:text/>
      </w:sdtPr>
      <w:sdtEndPr/>
      <w:sdtContent>
        <w:p w14:paraId="7E32B2C5" w14:textId="7383DFBD" w:rsidR="001517EB" w:rsidRPr="00E547E3" w:rsidRDefault="0034286C" w:rsidP="00497F68">
          <w:pPr>
            <w:pStyle w:val="AZ-PDate2"/>
            <w:framePr w:wrap="around"/>
            <w:rPr>
              <w:lang w:val="es-ES"/>
            </w:rPr>
          </w:pPr>
          <w:r w:rsidRPr="00E547E3">
            <w:rPr>
              <w:lang w:val="es-ES"/>
            </w:rPr>
            <w:t>Madrid</w:t>
          </w:r>
        </w:p>
      </w:sdtContent>
    </w:sdt>
    <w:p w14:paraId="6E0B5B65" w14:textId="11B91D37" w:rsidR="743340DF" w:rsidRDefault="743340DF" w:rsidP="4432E7B8">
      <w:pPr>
        <w:pStyle w:val="AZ-PList"/>
        <w:rPr>
          <w:lang w:val="es-ES"/>
        </w:rPr>
      </w:pPr>
      <w:r w:rsidRPr="4432E7B8">
        <w:rPr>
          <w:lang w:val="es-ES"/>
        </w:rPr>
        <w:t xml:space="preserve">Allianz impulsa nuevas iniciativas centradas en reforzar la protección global de las familias, combinando soluciones de ahorro, inversión, salud y hogar en una única propuesta de valor </w:t>
      </w:r>
    </w:p>
    <w:p w14:paraId="63CE0E0A" w14:textId="37712847" w:rsidR="743340DF" w:rsidRDefault="743340DF" w:rsidP="4432E7B8">
      <w:pPr>
        <w:pStyle w:val="AZ-PList"/>
        <w:rPr>
          <w:lang w:val="es-ES"/>
        </w:rPr>
      </w:pPr>
      <w:r w:rsidRPr="4432E7B8">
        <w:rPr>
          <w:lang w:val="es-ES"/>
        </w:rPr>
        <w:t xml:space="preserve">La compañía apuesta por un modelo de asesoramiento integral que facilita a los clientes el acceso a coberturas complementarias adaptadas a sus necesidades de protección y planificación financiera </w:t>
      </w:r>
    </w:p>
    <w:p w14:paraId="5CBF409B" w14:textId="6DA01A61" w:rsidR="743340DF" w:rsidRPr="00741891" w:rsidRDefault="743340DF" w:rsidP="4432E7B8">
      <w:pPr>
        <w:pStyle w:val="AZ-PList"/>
        <w:rPr>
          <w:lang w:val="es-ES"/>
        </w:rPr>
      </w:pPr>
      <w:r w:rsidRPr="4432E7B8">
        <w:rPr>
          <w:lang w:val="es-ES"/>
        </w:rPr>
        <w:t>Allianz ha desarrollado herramientas capaces de identificar necesidades de protección a partir de una única interacción comercial</w:t>
      </w:r>
    </w:p>
    <w:p w14:paraId="3088BDE1" w14:textId="77777777" w:rsidR="0057615F" w:rsidRDefault="0057615F" w:rsidP="0057615F">
      <w:pPr>
        <w:pStyle w:val="AZ-PList"/>
        <w:numPr>
          <w:ilvl w:val="0"/>
          <w:numId w:val="0"/>
        </w:numPr>
        <w:rPr>
          <w:lang w:val="es-ES"/>
        </w:rPr>
      </w:pPr>
    </w:p>
    <w:p w14:paraId="7387A91F" w14:textId="77777777" w:rsidR="005C6496" w:rsidRDefault="005C6496" w:rsidP="00BD0AE0">
      <w:pPr>
        <w:rPr>
          <w:lang w:val="es-ES"/>
        </w:rPr>
      </w:pPr>
    </w:p>
    <w:p w14:paraId="5594F716" w14:textId="5F8FD607" w:rsidR="00CC7C04" w:rsidRPr="00741891" w:rsidRDefault="743340DF" w:rsidP="00CC7C04">
      <w:pPr>
        <w:rPr>
          <w:lang w:val="es-ES"/>
        </w:rPr>
      </w:pPr>
      <w:r w:rsidRPr="4432E7B8">
        <w:rPr>
          <w:lang w:val="es-ES"/>
        </w:rPr>
        <w:t>La protección financiera</w:t>
      </w:r>
      <w:r w:rsidR="64281631" w:rsidRPr="4432E7B8">
        <w:rPr>
          <w:lang w:val="es-ES"/>
        </w:rPr>
        <w:t xml:space="preserve"> y aseguradora de las familias evoluciona hacia modelos cada vez más integrados. Frente a una realidad marcada por una mayor complejidad económica y social, los clientes demandan soluciones que les permitan abordar de forma conjunta aspectos tan relevantes como la protección del patrimonio, la planificación del ahorro, la salud o la seguridad de sus seres queridos.</w:t>
      </w:r>
    </w:p>
    <w:p w14:paraId="14C32DC2" w14:textId="2CE88492" w:rsidR="00CC7C04" w:rsidRDefault="00CC7C04" w:rsidP="4432E7B8">
      <w:pPr>
        <w:rPr>
          <w:lang w:val="es-ES"/>
        </w:rPr>
      </w:pPr>
    </w:p>
    <w:p w14:paraId="7B4EA792" w14:textId="6E652CFF" w:rsidR="00CC7C04" w:rsidRPr="00741891" w:rsidRDefault="64281631" w:rsidP="4432E7B8">
      <w:pPr>
        <w:rPr>
          <w:lang w:val="es-ES"/>
        </w:rPr>
      </w:pPr>
      <w:r w:rsidRPr="4432E7B8">
        <w:rPr>
          <w:lang w:val="es-ES"/>
        </w:rPr>
        <w:t>En este contexto, Allianz ha puesto en marcha distintas iniciativas orientadas a reforzar la protección integral de sus clientes mediante la combinación de soluciones de ahorro, inversión, salud, hogar y vida, favoreciendo una visión más global de las necesidades de protección de las familias.</w:t>
      </w:r>
      <w:r w:rsidR="4CB670C7" w:rsidRPr="4432E7B8">
        <w:rPr>
          <w:lang w:val="es-ES"/>
        </w:rPr>
        <w:t xml:space="preserve"> Entre las </w:t>
      </w:r>
      <w:r w:rsidRPr="4432E7B8">
        <w:rPr>
          <w:lang w:val="es-ES"/>
        </w:rPr>
        <w:t>más relevantes es</w:t>
      </w:r>
      <w:r w:rsidR="372339E9" w:rsidRPr="4432E7B8">
        <w:rPr>
          <w:lang w:val="es-ES"/>
        </w:rPr>
        <w:t>tá</w:t>
      </w:r>
      <w:r w:rsidRPr="4432E7B8">
        <w:rPr>
          <w:lang w:val="es-ES"/>
        </w:rPr>
        <w:t xml:space="preserve"> el desarrollo de un nuevo </w:t>
      </w:r>
      <w:r w:rsidRPr="4432E7B8">
        <w:rPr>
          <w:b/>
          <w:bCs/>
          <w:color w:val="003781" w:themeColor="background1"/>
          <w:lang w:val="es-ES"/>
        </w:rPr>
        <w:t>Plan de Protección Integral</w:t>
      </w:r>
      <w:r w:rsidRPr="4432E7B8">
        <w:rPr>
          <w:color w:val="003781" w:themeColor="background1"/>
          <w:lang w:val="es-ES"/>
        </w:rPr>
        <w:t>,</w:t>
      </w:r>
      <w:r w:rsidRPr="4432E7B8">
        <w:rPr>
          <w:lang w:val="es-ES"/>
        </w:rPr>
        <w:t xml:space="preserve"> una herramienta incorporada al proceso de cotización de seguros de automóvil que permite identificar de forma automática necesidades adicionales de protección.</w:t>
      </w:r>
    </w:p>
    <w:p w14:paraId="0F907089" w14:textId="06746A93" w:rsidR="00CC7C04" w:rsidRDefault="00CC7C04" w:rsidP="4432E7B8">
      <w:pPr>
        <w:rPr>
          <w:lang w:val="es-ES"/>
        </w:rPr>
      </w:pPr>
    </w:p>
    <w:p w14:paraId="1C2CD50A" w14:textId="29883648" w:rsidR="00CC7C04" w:rsidRPr="00741891" w:rsidRDefault="64281631" w:rsidP="4432E7B8">
      <w:pPr>
        <w:rPr>
          <w:lang w:val="es-ES"/>
        </w:rPr>
      </w:pPr>
      <w:r w:rsidRPr="4432E7B8">
        <w:rPr>
          <w:lang w:val="es-ES"/>
        </w:rPr>
        <w:t>A partir de los datos disponibles el sistema genera propuestas personalizadas de coberturas complementarias, incluyendo seguros de vida, accidentes, salud, dental, decesos, mascotas o movilidad personal.</w:t>
      </w:r>
    </w:p>
    <w:p w14:paraId="3336193B" w14:textId="0A1087E0" w:rsidR="00CC7C04" w:rsidRDefault="00CC7C04" w:rsidP="4432E7B8">
      <w:pPr>
        <w:rPr>
          <w:lang w:val="es-ES"/>
        </w:rPr>
      </w:pPr>
    </w:p>
    <w:p w14:paraId="60B18C42" w14:textId="7C2C2DC9" w:rsidR="00CC7C04" w:rsidRPr="00741891" w:rsidRDefault="64281631" w:rsidP="4432E7B8">
      <w:pPr>
        <w:rPr>
          <w:lang w:val="es-ES"/>
        </w:rPr>
      </w:pPr>
      <w:r w:rsidRPr="4432E7B8">
        <w:rPr>
          <w:lang w:val="es-ES"/>
        </w:rPr>
        <w:t>Para el cliente, esto se traduce en una visión más completa de sus necesidades de protección desde una única interacción con su mediador. Además, las propuestas incluyen precios orientativos ya calculados a partir de la información disponible, lo que facilita la toma de decisiones y el acceso a soluciones adaptadas a cada situación personal.</w:t>
      </w:r>
    </w:p>
    <w:p w14:paraId="47AD1905" w14:textId="43EF46D5" w:rsidR="00CC7C04" w:rsidRDefault="00CC7C04" w:rsidP="4432E7B8">
      <w:pPr>
        <w:rPr>
          <w:lang w:val="es-ES"/>
        </w:rPr>
      </w:pPr>
    </w:p>
    <w:p w14:paraId="691242F6" w14:textId="045C1F59" w:rsidR="00CC7C04" w:rsidRDefault="1C23C225" w:rsidP="4432E7B8">
      <w:pPr>
        <w:spacing w:line="300" w:lineRule="auto"/>
        <w:rPr>
          <w:rFonts w:ascii="Segoe UI" w:eastAsia="Segoe UI" w:hAnsi="Segoe UI" w:cs="Segoe UI"/>
          <w:b/>
          <w:bCs/>
          <w:color w:val="003781" w:themeColor="background1"/>
          <w:szCs w:val="20"/>
          <w:lang w:val="es-ES"/>
        </w:rPr>
      </w:pPr>
      <w:r w:rsidRPr="4432E7B8">
        <w:rPr>
          <w:rFonts w:ascii="Segoe UI" w:eastAsia="Segoe UI" w:hAnsi="Segoe UI" w:cs="Segoe UI"/>
          <w:b/>
          <w:bCs/>
          <w:color w:val="003781" w:themeColor="background1"/>
          <w:szCs w:val="20"/>
          <w:lang w:val="es-ES"/>
        </w:rPr>
        <w:lastRenderedPageBreak/>
        <w:t>Una nueva forma de entender la protección</w:t>
      </w:r>
    </w:p>
    <w:p w14:paraId="40090F79" w14:textId="4DC984B7" w:rsidR="00CC7C04" w:rsidRDefault="00CC7C04" w:rsidP="4432E7B8">
      <w:pPr>
        <w:rPr>
          <w:lang w:val="es-ES"/>
        </w:rPr>
      </w:pPr>
    </w:p>
    <w:p w14:paraId="528D443D" w14:textId="256A64DE" w:rsidR="00CC7C04" w:rsidRPr="00741891" w:rsidRDefault="64281631" w:rsidP="4432E7B8">
      <w:pPr>
        <w:rPr>
          <w:lang w:val="es-ES"/>
        </w:rPr>
      </w:pPr>
      <w:r w:rsidRPr="4432E7B8">
        <w:rPr>
          <w:lang w:val="es-ES"/>
        </w:rPr>
        <w:t xml:space="preserve">La iniciativa responde a una tendencia creciente en el sector asegurador: </w:t>
      </w:r>
      <w:r w:rsidRPr="4432E7B8">
        <w:rPr>
          <w:color w:val="003781" w:themeColor="background1"/>
          <w:lang w:val="es-ES"/>
        </w:rPr>
        <w:t>el paso de una relación basada en productos individuales a otra centrada en las necesidades reales de cada cliente</w:t>
      </w:r>
      <w:r w:rsidRPr="4432E7B8">
        <w:rPr>
          <w:lang w:val="es-ES"/>
        </w:rPr>
        <w:t>. Bajo este modelo, el mediador amplía su papel como asesor de protección integral, acompañando al cliente en la identificación de riesgos y soluciones a lo largo de las distintas etapas de su vida.</w:t>
      </w:r>
    </w:p>
    <w:p w14:paraId="3D5DE595" w14:textId="05F483AF" w:rsidR="00CC7C04" w:rsidRDefault="00CC7C04" w:rsidP="4432E7B8">
      <w:pPr>
        <w:rPr>
          <w:lang w:val="es-ES"/>
        </w:rPr>
      </w:pPr>
    </w:p>
    <w:p w14:paraId="6867B773" w14:textId="3CA5B464" w:rsidR="00CC7C04" w:rsidRPr="00741891" w:rsidRDefault="64281631" w:rsidP="4432E7B8">
      <w:pPr>
        <w:rPr>
          <w:lang w:val="es-ES"/>
        </w:rPr>
      </w:pPr>
      <w:r w:rsidRPr="4432E7B8">
        <w:rPr>
          <w:lang w:val="es-ES"/>
        </w:rPr>
        <w:t xml:space="preserve">Dentro de esta estrategia, Allianz también está impulsando iniciativas que conectan protección y planificación financiera. Así, los clientes que realicen nuevas inversiones en determinados productos de ahorro e inversión podrán obtener bonificaciones vinculadas a sus seguros de hogar o automóvil, con </w:t>
      </w:r>
      <w:r w:rsidRPr="4432E7B8">
        <w:rPr>
          <w:color w:val="003781" w:themeColor="background1"/>
          <w:lang w:val="es-ES"/>
        </w:rPr>
        <w:t xml:space="preserve">ayudas que alcanzan hasta los 1.000 euros </w:t>
      </w:r>
      <w:r w:rsidRPr="4432E7B8">
        <w:rPr>
          <w:lang w:val="es-ES"/>
        </w:rPr>
        <w:t>en función del importe invertido. Con ello, la compañía busca favorecer una gestión más integrada del patrimonio y la protección familiar.</w:t>
      </w:r>
    </w:p>
    <w:p w14:paraId="05F70369" w14:textId="653B7083" w:rsidR="00CC7C04" w:rsidRDefault="00CC7C04" w:rsidP="4432E7B8">
      <w:pPr>
        <w:rPr>
          <w:lang w:val="es-ES"/>
        </w:rPr>
      </w:pPr>
    </w:p>
    <w:p w14:paraId="47FE429B" w14:textId="788A88EC" w:rsidR="00CC7C04" w:rsidRPr="00741891" w:rsidRDefault="64281631" w:rsidP="4432E7B8">
      <w:pPr>
        <w:rPr>
          <w:lang w:val="es-ES"/>
        </w:rPr>
      </w:pPr>
      <w:r w:rsidRPr="4432E7B8">
        <w:rPr>
          <w:lang w:val="es-ES"/>
        </w:rPr>
        <w:t xml:space="preserve">La salud constituye otro de los pilares de esta propuesta de valor. Allianz ha puesto en marcha una campaña orientada a facilitar el acceso a </w:t>
      </w:r>
      <w:r w:rsidRPr="00320CAB">
        <w:rPr>
          <w:color w:val="003781" w:themeColor="background1"/>
          <w:lang w:val="es-ES"/>
        </w:rPr>
        <w:t xml:space="preserve">seguros de salud </w:t>
      </w:r>
      <w:r w:rsidRPr="4432E7B8">
        <w:rPr>
          <w:lang w:val="es-ES"/>
        </w:rPr>
        <w:t>individuales, permitiendo a los nuevos clientes beneficiarse de condiciones especiales durante el periodo de contratación. La iniciativa responde al creciente interés de los ciudadanos por complementar su protección sanitaria con soluciones que les aporten mayor tranquilidad y capacidad de planificación.</w:t>
      </w:r>
    </w:p>
    <w:p w14:paraId="6D2B5CD1" w14:textId="4C0108EA" w:rsidR="00CC7C04" w:rsidRDefault="00CC7C04" w:rsidP="4432E7B8">
      <w:pPr>
        <w:rPr>
          <w:lang w:val="es-ES"/>
        </w:rPr>
      </w:pPr>
    </w:p>
    <w:p w14:paraId="5B7AFBE1" w14:textId="69C214A9" w:rsidR="00CC7C04" w:rsidRPr="00741891" w:rsidRDefault="64281631" w:rsidP="4432E7B8">
      <w:pPr>
        <w:rPr>
          <w:lang w:val="es-ES"/>
        </w:rPr>
      </w:pPr>
      <w:r w:rsidRPr="4432E7B8">
        <w:rPr>
          <w:lang w:val="es-ES"/>
        </w:rPr>
        <w:t>Asimismo, la aseguradora ha reforzado su oferta dental mediante propuestas específicas vinculadas a otras soluciones de protección personal y familiar. Con ello, busca facilitar el acceso a servicios preventivos y de cuidado de la salud bucodental dentro de una estrategia más amplia de bienestar y protección.</w:t>
      </w:r>
    </w:p>
    <w:p w14:paraId="37E03D84" w14:textId="5A6F6997" w:rsidR="00CC7C04" w:rsidRDefault="00CC7C04" w:rsidP="4432E7B8">
      <w:pPr>
        <w:rPr>
          <w:lang w:val="es-ES"/>
        </w:rPr>
      </w:pPr>
    </w:p>
    <w:p w14:paraId="4296599B" w14:textId="2961DF85" w:rsidR="00CC7C04" w:rsidRPr="00741891" w:rsidRDefault="64281631" w:rsidP="4432E7B8">
      <w:pPr>
        <w:rPr>
          <w:lang w:val="es-ES"/>
        </w:rPr>
      </w:pPr>
      <w:r w:rsidRPr="4432E7B8">
        <w:rPr>
          <w:lang w:val="es-ES"/>
        </w:rPr>
        <w:t>Con estas iniciativas, Allianz avanza en un modelo de asesoramiento basado en la protección integral, en el que ahorro, inversión, salud y aseguramiento se abordan de forma conjunta para ofrecer respuestas más completas a las necesidades cambiantes de las familias. La compañía refuerza así una visión de la protección que va más allá de la cobertura de riesgos concretos y que pone el foco en el acompañamiento y la planificación a largo plazo de sus clientes</w:t>
      </w:r>
      <w:r w:rsidR="4001E418" w:rsidRPr="4432E7B8">
        <w:rPr>
          <w:lang w:val="es-ES"/>
        </w:rPr>
        <w:t>.</w:t>
      </w:r>
    </w:p>
    <w:p w14:paraId="0F4351C8" w14:textId="59E704C8" w:rsidR="00CC7C04" w:rsidRDefault="00CC7C04" w:rsidP="4432E7B8">
      <w:pPr>
        <w:rPr>
          <w:lang w:val="es-ES"/>
        </w:rPr>
      </w:pPr>
    </w:p>
    <w:p w14:paraId="6D4A4914" w14:textId="5FAB0C2B" w:rsidR="00C06FE6" w:rsidRPr="00D70220" w:rsidRDefault="00C06FE6" w:rsidP="00C06FE6">
      <w:pPr>
        <w:rPr>
          <w:lang w:val="es-ES"/>
        </w:rPr>
      </w:pPr>
    </w:p>
    <w:p w14:paraId="0BB5EF12" w14:textId="77777777" w:rsidR="00285A83" w:rsidRPr="00FF57EC" w:rsidRDefault="00285A83" w:rsidP="00853D8C">
      <w:pPr>
        <w:rPr>
          <w:lang w:val="es-ES"/>
        </w:rPr>
      </w:pPr>
    </w:p>
    <w:tbl>
      <w:tblPr>
        <w:tblStyle w:val="AZPressContact"/>
        <w:tblW w:w="0" w:type="auto"/>
        <w:tblBorders>
          <w:top w:val="single" w:sz="4" w:space="0" w:color="003781" w:themeColor="background1"/>
          <w:bottom w:val="single" w:sz="4" w:space="0" w:color="003781" w:themeColor="background1"/>
        </w:tblBorders>
        <w:tblLook w:val="0600" w:firstRow="0" w:lastRow="0" w:firstColumn="0" w:lastColumn="0" w:noHBand="1" w:noVBand="1"/>
      </w:tblPr>
      <w:tblGrid>
        <w:gridCol w:w="1984"/>
        <w:gridCol w:w="2721"/>
        <w:gridCol w:w="3855"/>
        <w:gridCol w:w="19"/>
      </w:tblGrid>
      <w:tr w:rsidR="00137935" w:rsidRPr="007A3DD9" w14:paraId="3642DFCB" w14:textId="77777777" w:rsidTr="00EB6C5C">
        <w:tc>
          <w:tcPr>
            <w:tcW w:w="8579" w:type="dxa"/>
            <w:gridSpan w:val="4"/>
            <w:tcMar>
              <w:bottom w:w="142" w:type="dxa"/>
            </w:tcMar>
          </w:tcPr>
          <w:p w14:paraId="1BFC39D2" w14:textId="2FABF0DA" w:rsidR="00137935" w:rsidRPr="007A3DD9" w:rsidRDefault="0034286C" w:rsidP="001E6D1C">
            <w:pPr>
              <w:rPr>
                <w:rStyle w:val="StyleBoldText2"/>
              </w:rPr>
            </w:pPr>
            <w:r w:rsidRPr="0034286C">
              <w:rPr>
                <w:rStyle w:val="StyleBoldText2"/>
              </w:rPr>
              <w:t>Para más información:</w:t>
            </w:r>
          </w:p>
        </w:tc>
      </w:tr>
      <w:tr w:rsidR="007A3DD9" w:rsidRPr="0034286C" w14:paraId="02A973FD" w14:textId="77777777" w:rsidTr="001C10B7">
        <w:trPr>
          <w:gridAfter w:val="1"/>
          <w:wAfter w:w="19" w:type="dxa"/>
          <w:trHeight w:val="422"/>
        </w:trPr>
        <w:tc>
          <w:tcPr>
            <w:tcW w:w="1984" w:type="dxa"/>
            <w:tcMar>
              <w:top w:w="142" w:type="dxa"/>
            </w:tcMar>
          </w:tcPr>
          <w:p w14:paraId="3E90328E" w14:textId="737F5F33" w:rsidR="0034286C" w:rsidRPr="00F72E43" w:rsidRDefault="0034286C" w:rsidP="0034286C">
            <w:pPr>
              <w:rPr>
                <w:rStyle w:val="StyleBackground1"/>
                <w:lang w:val="de-DE"/>
              </w:rPr>
            </w:pPr>
            <w:r>
              <w:rPr>
                <w:rStyle w:val="StyleBackground1"/>
              </w:rPr>
              <w:t>Sonia Rodríguez</w:t>
            </w:r>
            <w:r w:rsidR="00BD281C">
              <w:rPr>
                <w:rStyle w:val="StyleBackground1"/>
              </w:rPr>
              <w:t xml:space="preserve"> </w:t>
            </w:r>
          </w:p>
          <w:p w14:paraId="59B1BAEA" w14:textId="403931C4" w:rsidR="00137935" w:rsidRPr="00F72E43" w:rsidRDefault="00137935" w:rsidP="00DC2140">
            <w:pPr>
              <w:rPr>
                <w:rStyle w:val="StyleBackground1"/>
                <w:lang w:val="de-DE"/>
              </w:rPr>
            </w:pPr>
          </w:p>
        </w:tc>
        <w:tc>
          <w:tcPr>
            <w:tcW w:w="2721" w:type="dxa"/>
            <w:tcMar>
              <w:top w:w="142" w:type="dxa"/>
            </w:tcMar>
          </w:tcPr>
          <w:p w14:paraId="125C94D4" w14:textId="1C746E7D" w:rsidR="007A3DD9" w:rsidRPr="00DC2140" w:rsidRDefault="007A3DD9" w:rsidP="007A3DD9">
            <w:pPr>
              <w:rPr>
                <w:rStyle w:val="StyleBackground1"/>
                <w:lang w:val="de-DE"/>
              </w:rPr>
            </w:pPr>
            <w:r w:rsidRPr="00DC2140">
              <w:rPr>
                <w:rStyle w:val="StyleBackground1"/>
                <w:lang w:val="de-DE"/>
              </w:rPr>
              <w:t>T</w:t>
            </w:r>
            <w:r w:rsidR="0034286C">
              <w:rPr>
                <w:rStyle w:val="StyleBackground1"/>
                <w:lang w:val="de-DE"/>
              </w:rPr>
              <w:t>el.</w:t>
            </w:r>
            <w:r w:rsidRPr="00DC2140">
              <w:rPr>
                <w:rStyle w:val="StyleBackground1"/>
                <w:lang w:val="de-DE"/>
              </w:rPr>
              <w:t xml:space="preserve"> </w:t>
            </w:r>
            <w:r w:rsidR="0034286C" w:rsidRPr="0034286C">
              <w:rPr>
                <w:rStyle w:val="StyleBackground1"/>
                <w:lang w:val="de-DE"/>
              </w:rPr>
              <w:t>638 93 00 08</w:t>
            </w:r>
          </w:p>
          <w:p w14:paraId="25C474BA" w14:textId="5D271C70" w:rsidR="00137935" w:rsidRPr="00DC2140" w:rsidRDefault="00137935" w:rsidP="00DC2140">
            <w:pPr>
              <w:rPr>
                <w:rStyle w:val="StyleBackground1"/>
                <w:lang w:val="de-DE"/>
              </w:rPr>
            </w:pPr>
          </w:p>
        </w:tc>
        <w:tc>
          <w:tcPr>
            <w:tcW w:w="3855" w:type="dxa"/>
            <w:tcMar>
              <w:top w:w="142" w:type="dxa"/>
            </w:tcMar>
          </w:tcPr>
          <w:p w14:paraId="672B4957" w14:textId="2BCD7DEC" w:rsidR="00137935" w:rsidRPr="0034286C" w:rsidRDefault="0034286C" w:rsidP="001C10B7">
            <w:pPr>
              <w:rPr>
                <w:rStyle w:val="StyleBackground1"/>
                <w:lang w:val="de-DE"/>
              </w:rPr>
            </w:pPr>
            <w:r>
              <w:rPr>
                <w:rStyle w:val="StyleBackground1"/>
                <w:lang w:val="de-DE"/>
              </w:rPr>
              <w:t>sonia</w:t>
            </w:r>
            <w:r w:rsidR="00BD281C" w:rsidRPr="0034286C">
              <w:rPr>
                <w:rStyle w:val="StyleBackground1"/>
                <w:lang w:val="de-DE"/>
              </w:rPr>
              <w:t>.</w:t>
            </w:r>
            <w:r>
              <w:rPr>
                <w:rStyle w:val="StyleBackground1"/>
                <w:lang w:val="de-DE"/>
              </w:rPr>
              <w:t>rodriguez</w:t>
            </w:r>
            <w:r w:rsidR="00BD281C" w:rsidRPr="0034286C">
              <w:rPr>
                <w:rStyle w:val="StyleBackground1"/>
                <w:lang w:val="de-DE"/>
              </w:rPr>
              <w:t>@allianz</w:t>
            </w:r>
            <w:r w:rsidR="007A3DD9" w:rsidRPr="0034286C">
              <w:rPr>
                <w:rStyle w:val="StyleBackground1"/>
                <w:lang w:val="de-DE"/>
              </w:rPr>
              <w:t>.</w:t>
            </w:r>
            <w:r>
              <w:rPr>
                <w:rStyle w:val="StyleBackground1"/>
                <w:lang w:val="de-DE"/>
              </w:rPr>
              <w:t>es</w:t>
            </w:r>
          </w:p>
        </w:tc>
      </w:tr>
    </w:tbl>
    <w:p w14:paraId="39D35B2C" w14:textId="3D6B647F" w:rsidR="001E6D1C" w:rsidRPr="001C10B7" w:rsidRDefault="0034286C" w:rsidP="00BA3CBC">
      <w:pPr>
        <w:pStyle w:val="Ttulo2"/>
        <w:rPr>
          <w:lang w:val="es-ES"/>
        </w:rPr>
      </w:pPr>
      <w:r w:rsidRPr="001C10B7">
        <w:rPr>
          <w:lang w:val="es-ES"/>
        </w:rPr>
        <w:t>Sobre Allianz Seguros</w:t>
      </w:r>
    </w:p>
    <w:p w14:paraId="468744EF" w14:textId="77777777" w:rsidR="00BF5976" w:rsidRDefault="00BF5976" w:rsidP="00BF5976">
      <w:pPr>
        <w:rPr>
          <w:lang w:val="es-ES"/>
        </w:rPr>
      </w:pPr>
      <w:r w:rsidRPr="00BF5976">
        <w:rPr>
          <w:lang w:val="es-ES"/>
        </w:rPr>
        <w:t>Allianz Seguros es la filial principal del Grupo Allianz en España y una de las compañías líderes del sector asegurador español. Con presencia en todo el territorio nacional, la compañía cuenta con más de 2.300 empleados y una red de más de 13.000 mediadores.</w:t>
      </w:r>
    </w:p>
    <w:p w14:paraId="3F48C481" w14:textId="77777777" w:rsidR="00BF5976" w:rsidRDefault="00BF5976" w:rsidP="00BF5976">
      <w:pPr>
        <w:rPr>
          <w:lang w:val="es-ES"/>
        </w:rPr>
      </w:pPr>
    </w:p>
    <w:p w14:paraId="1A3C5677" w14:textId="70C48C56" w:rsidR="00BF5976" w:rsidRDefault="00BF5976" w:rsidP="00BF5976">
      <w:pPr>
        <w:rPr>
          <w:lang w:val="es-ES"/>
        </w:rPr>
      </w:pPr>
      <w:r w:rsidRPr="00BF5976">
        <w:rPr>
          <w:lang w:val="es-ES"/>
        </w:rPr>
        <w:lastRenderedPageBreak/>
        <w:t xml:space="preserve">Allianz Seguros ofrece seguros para particulares (Vida, Salud, Autos, Hogar y Accidentes) y para empresas (Multirriesgos, responsabilidad civil y soluciones personalizadas), combinando atención presencial en su red de sucursales con servicios digitales a través de su aplicación móvil y área de cliente online.Allianz Seguros forma parte del Grupo Allianz, uno de los principales aseguradores y gestores de activos del mundo, presente en cerca de 70 países y al servicio de alrededor de 97 millones de clientes particulares y corporativos*. </w:t>
      </w:r>
    </w:p>
    <w:p w14:paraId="311F35F6" w14:textId="77777777" w:rsidR="00BF5976" w:rsidRPr="00BF5976" w:rsidRDefault="00BF5976" w:rsidP="00BF5976">
      <w:pPr>
        <w:rPr>
          <w:lang w:val="es-ES"/>
        </w:rPr>
      </w:pPr>
    </w:p>
    <w:p w14:paraId="4D986C6D" w14:textId="2DAE3C3C" w:rsidR="001C10B7" w:rsidRDefault="00BF5976" w:rsidP="00BF5976">
      <w:pPr>
        <w:rPr>
          <w:lang w:val="es-ES"/>
        </w:rPr>
      </w:pPr>
      <w:r w:rsidRPr="5E2B4A03">
        <w:rPr>
          <w:lang w:val="es-ES"/>
        </w:rPr>
        <w:t xml:space="preserve">Más información: </w:t>
      </w:r>
      <w:hyperlink r:id="rId13">
        <w:r w:rsidRPr="5E2B4A03">
          <w:rPr>
            <w:rStyle w:val="Hipervnculo"/>
            <w:lang w:val="es-ES"/>
          </w:rPr>
          <w:t>https://www.allianz.es/.</w:t>
        </w:r>
      </w:hyperlink>
    </w:p>
    <w:p w14:paraId="5409D3A8" w14:textId="49EA4CDA" w:rsidR="5E2B4A03" w:rsidRDefault="5E2B4A03" w:rsidP="5E2B4A03">
      <w:pPr>
        <w:pStyle w:val="AZ-PSmall"/>
        <w:rPr>
          <w:lang w:val="es-ES"/>
        </w:rPr>
      </w:pPr>
    </w:p>
    <w:p w14:paraId="430C8A9A" w14:textId="1E1BA911" w:rsidR="00EB6C5C" w:rsidRPr="005072B6" w:rsidRDefault="00FF57EC" w:rsidP="00B1634E">
      <w:pPr>
        <w:pStyle w:val="AZ-PSmall"/>
        <w:rPr>
          <w:lang w:val="es-ES"/>
        </w:rPr>
      </w:pPr>
      <w:r w:rsidRPr="5E2B4A03">
        <w:rPr>
          <w:lang w:val="es-ES"/>
        </w:rPr>
        <w:t xml:space="preserve">Estas aseveraciones quedan, como siempre, sujetas a la siguiente </w:t>
      </w:r>
      <w:hyperlink r:id="rId14">
        <w:r w:rsidRPr="5E2B4A03">
          <w:rPr>
            <w:rStyle w:val="Hipervnculo"/>
            <w:lang w:val="es-ES"/>
          </w:rPr>
          <w:t>nota preventiva.</w:t>
        </w:r>
      </w:hyperlink>
    </w:p>
    <w:p w14:paraId="73BB3DDB" w14:textId="77777777" w:rsidR="00BD1313" w:rsidRPr="004E5839" w:rsidRDefault="00BD1313" w:rsidP="00B1634E">
      <w:pPr>
        <w:pStyle w:val="AZ-PSmall"/>
        <w:rPr>
          <w:lang w:val="es-ES"/>
        </w:rPr>
      </w:pPr>
    </w:p>
    <w:p w14:paraId="524D244D" w14:textId="77777777" w:rsidR="004E5839" w:rsidRDefault="004E5839" w:rsidP="00B1634E">
      <w:pPr>
        <w:pStyle w:val="AZ-PSmall"/>
        <w:rPr>
          <w:lang w:val="es-ES"/>
        </w:rPr>
      </w:pPr>
    </w:p>
    <w:p w14:paraId="76664B2F" w14:textId="0E6C87F9" w:rsidR="004E5839" w:rsidRPr="005072B6" w:rsidRDefault="004E5839" w:rsidP="00B1634E">
      <w:pPr>
        <w:pStyle w:val="AZ-PSmall"/>
        <w:rPr>
          <w:lang w:val="es-ES"/>
        </w:rPr>
      </w:pPr>
    </w:p>
    <w:sectPr w:rsidR="004E5839" w:rsidRPr="005072B6" w:rsidSect="005D10A6">
      <w:headerReference w:type="even" r:id="rId15"/>
      <w:headerReference w:type="default" r:id="rId16"/>
      <w:footerReference w:type="default" r:id="rId17"/>
      <w:headerReference w:type="first" r:id="rId18"/>
      <w:footerReference w:type="first" r:id="rId19"/>
      <w:pgSz w:w="11906" w:h="16838"/>
      <w:pgMar w:top="2495" w:right="765" w:bottom="1418" w:left="2552" w:header="709" w:footer="737"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37D4" w14:textId="77777777" w:rsidR="00AC4DE1" w:rsidRDefault="00AC4DE1" w:rsidP="009F69DD">
      <w:r>
        <w:separator/>
      </w:r>
    </w:p>
  </w:endnote>
  <w:endnote w:type="continuationSeparator" w:id="0">
    <w:p w14:paraId="4CA4DE4B" w14:textId="77777777" w:rsidR="00AC4DE1" w:rsidRDefault="00AC4DE1" w:rsidP="009F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lianz Neo">
    <w:altName w:val="Calibri"/>
    <w:panose1 w:val="020B0504020203020204"/>
    <w:charset w:val="00"/>
    <w:family w:val="swiss"/>
    <w:pitch w:val="variable"/>
    <w:sig w:usb0="A000006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Allianz Neo SemiBold">
    <w:altName w:val="Calibri"/>
    <w:charset w:val="00"/>
    <w:family w:val="swiss"/>
    <w:pitch w:val="variable"/>
    <w:sig w:usb0="A000006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8F0E" w14:textId="77777777" w:rsidR="00070BAA" w:rsidRDefault="00070BAA" w:rsidP="007D01A7">
    <w:pPr>
      <w:pStyle w:val="Piedepgina"/>
      <w:jc w:val="right"/>
    </w:pPr>
    <w:r w:rsidRPr="00070BAA">
      <w:rPr>
        <w:color w:val="414141" w:themeColor="background2"/>
      </w:rPr>
      <w:fldChar w:fldCharType="begin"/>
    </w:r>
    <w:r w:rsidRPr="00070BAA">
      <w:rPr>
        <w:color w:val="414141" w:themeColor="background2"/>
      </w:rPr>
      <w:instrText xml:space="preserve"> PAGE   \* MERGEFORMAT </w:instrText>
    </w:r>
    <w:r w:rsidRPr="00070BAA">
      <w:rPr>
        <w:color w:val="414141" w:themeColor="background2"/>
      </w:rPr>
      <w:fldChar w:fldCharType="separate"/>
    </w:r>
    <w:r w:rsidRPr="00070BAA">
      <w:rPr>
        <w:color w:val="414141" w:themeColor="background2"/>
      </w:rPr>
      <w:t>2</w:t>
    </w:r>
    <w:r w:rsidRPr="00070BAA">
      <w:rPr>
        <w:color w:val="414141" w:themeColor="background2"/>
      </w:rPr>
      <w:fldChar w:fldCharType="end"/>
    </w:r>
    <w:r w:rsidRPr="00070BAA">
      <w:rPr>
        <w:color w:val="414141" w:themeColor="background2"/>
      </w:rPr>
      <w:t>/</w:t>
    </w:r>
    <w:r w:rsidRPr="00070BAA">
      <w:rPr>
        <w:color w:val="414141" w:themeColor="background2"/>
      </w:rPr>
      <w:fldChar w:fldCharType="begin"/>
    </w:r>
    <w:r w:rsidRPr="00070BAA">
      <w:rPr>
        <w:color w:val="414141" w:themeColor="background2"/>
      </w:rPr>
      <w:instrText xml:space="preserve"> NUMPAGES  \* Arabic  \* MERGEFORMAT </w:instrText>
    </w:r>
    <w:r w:rsidRPr="00070BAA">
      <w:rPr>
        <w:color w:val="414141" w:themeColor="background2"/>
      </w:rPr>
      <w:fldChar w:fldCharType="separate"/>
    </w:r>
    <w:r w:rsidRPr="00070BAA">
      <w:rPr>
        <w:color w:val="414141" w:themeColor="background2"/>
      </w:rPr>
      <w:t>2</w:t>
    </w:r>
    <w:r w:rsidRPr="00070BAA">
      <w:rPr>
        <w:color w:val="414141" w:themeColor="background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E2E3" w14:textId="77777777" w:rsidR="00A90DBF" w:rsidRDefault="005D10A6" w:rsidP="007D01A7">
    <w:pPr>
      <w:pStyle w:val="Piedepgina"/>
      <w:jc w:val="right"/>
    </w:pPr>
    <w:r w:rsidRPr="00070BAA">
      <w:rPr>
        <w:color w:val="414141" w:themeColor="background2"/>
      </w:rPr>
      <w:fldChar w:fldCharType="begin"/>
    </w:r>
    <w:r w:rsidRPr="00070BAA">
      <w:rPr>
        <w:color w:val="414141" w:themeColor="background2"/>
      </w:rPr>
      <w:instrText xml:space="preserve"> PAGE   \* MERGEFORMAT </w:instrText>
    </w:r>
    <w:r w:rsidRPr="00070BAA">
      <w:rPr>
        <w:color w:val="414141" w:themeColor="background2"/>
      </w:rPr>
      <w:fldChar w:fldCharType="separate"/>
    </w:r>
    <w:r>
      <w:rPr>
        <w:color w:val="414141" w:themeColor="background2"/>
      </w:rPr>
      <w:t>2</w:t>
    </w:r>
    <w:r w:rsidRPr="00070BAA">
      <w:rPr>
        <w:color w:val="414141" w:themeColor="background2"/>
      </w:rPr>
      <w:fldChar w:fldCharType="end"/>
    </w:r>
    <w:r w:rsidRPr="00070BAA">
      <w:rPr>
        <w:color w:val="414141" w:themeColor="background2"/>
      </w:rPr>
      <w:t>/</w:t>
    </w:r>
    <w:r w:rsidRPr="00070BAA">
      <w:rPr>
        <w:color w:val="414141" w:themeColor="background2"/>
      </w:rPr>
      <w:fldChar w:fldCharType="begin"/>
    </w:r>
    <w:r w:rsidRPr="00070BAA">
      <w:rPr>
        <w:color w:val="414141" w:themeColor="background2"/>
      </w:rPr>
      <w:instrText xml:space="preserve"> NUMPAGES  \* Arabic  \* MERGEFORMAT </w:instrText>
    </w:r>
    <w:r w:rsidRPr="00070BAA">
      <w:rPr>
        <w:color w:val="414141" w:themeColor="background2"/>
      </w:rPr>
      <w:fldChar w:fldCharType="separate"/>
    </w:r>
    <w:r>
      <w:rPr>
        <w:color w:val="414141" w:themeColor="background2"/>
      </w:rPr>
      <w:t>2</w:t>
    </w:r>
    <w:r w:rsidRPr="00070BAA">
      <w:rPr>
        <w:color w:val="414141" w:themeColor="background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C3DE" w14:textId="77777777" w:rsidR="00AC4DE1" w:rsidRDefault="00AC4DE1" w:rsidP="009F69DD">
      <w:r>
        <w:separator/>
      </w:r>
    </w:p>
  </w:footnote>
  <w:footnote w:type="continuationSeparator" w:id="0">
    <w:p w14:paraId="4E176FE9" w14:textId="77777777" w:rsidR="00AC4DE1" w:rsidRDefault="00AC4DE1" w:rsidP="009F6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15CF" w14:textId="426B000E" w:rsidR="001C10B7" w:rsidRDefault="001C10B7">
    <w:pPr>
      <w:pStyle w:val="Encabezado"/>
    </w:pPr>
    <w:r>
      <mc:AlternateContent>
        <mc:Choice Requires="wps">
          <w:drawing>
            <wp:anchor distT="0" distB="0" distL="0" distR="0" simplePos="0" relativeHeight="251658245" behindDoc="0" locked="0" layoutInCell="1" allowOverlap="1" wp14:anchorId="1DEDF699" wp14:editId="0D5788F5">
              <wp:simplePos x="635" y="635"/>
              <wp:positionH relativeFrom="page">
                <wp:align>center</wp:align>
              </wp:positionH>
              <wp:positionV relativeFrom="page">
                <wp:align>top</wp:align>
              </wp:positionV>
              <wp:extent cx="405765" cy="355600"/>
              <wp:effectExtent l="0" t="0" r="13335" b="6350"/>
              <wp:wrapNone/>
              <wp:docPr id="1203036675" name="Cuadro de texto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5765" cy="355600"/>
                      </a:xfrm>
                      <a:prstGeom prst="rect">
                        <a:avLst/>
                      </a:prstGeom>
                      <a:noFill/>
                      <a:ln>
                        <a:noFill/>
                      </a:ln>
                    </wps:spPr>
                    <wps:txbx>
                      <w:txbxContent>
                        <w:p w14:paraId="488E7C2A" w14:textId="1D3E3658"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EDF699" id="_x0000_t202" coordsize="21600,21600" o:spt="202" path="m,l,21600r21600,l21600,xe">
              <v:stroke joinstyle="miter"/>
              <v:path gradientshapeok="t" o:connecttype="rect"/>
            </v:shapetype>
            <v:shape id="Cuadro de texto 2" o:spid="_x0000_s1026" type="#_x0000_t202" alt="Internal" style="position:absolute;margin-left:0;margin-top:0;width:31.95pt;height:2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" filled="f" stroked="f">
              <v:textbox style="mso-fit-shape-to-text:t" inset="0,15pt,0,0">
                <w:txbxContent>
                  <w:p w14:paraId="488E7C2A" w14:textId="1D3E3658"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D101" w14:textId="631BA86A" w:rsidR="00F77599" w:rsidRDefault="001C10B7" w:rsidP="009F69DD">
    <w:pPr>
      <w:pStyle w:val="Encabezado"/>
    </w:pPr>
    <w:r>
      <mc:AlternateContent>
        <mc:Choice Requires="wps">
          <w:drawing>
            <wp:anchor distT="0" distB="0" distL="0" distR="0" simplePos="0" relativeHeight="251658246" behindDoc="0" locked="0" layoutInCell="1" allowOverlap="1" wp14:anchorId="3718D2E2" wp14:editId="665029C3">
              <wp:simplePos x="1621155" y="450850"/>
              <wp:positionH relativeFrom="page">
                <wp:align>center</wp:align>
              </wp:positionH>
              <wp:positionV relativeFrom="page">
                <wp:align>top</wp:align>
              </wp:positionV>
              <wp:extent cx="405765" cy="355600"/>
              <wp:effectExtent l="0" t="0" r="13335" b="6350"/>
              <wp:wrapNone/>
              <wp:docPr id="857563756" name="Cuadro de texto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5765" cy="355600"/>
                      </a:xfrm>
                      <a:prstGeom prst="rect">
                        <a:avLst/>
                      </a:prstGeom>
                      <a:noFill/>
                      <a:ln>
                        <a:noFill/>
                      </a:ln>
                    </wps:spPr>
                    <wps:txbx>
                      <w:txbxContent>
                        <w:p w14:paraId="443E60AD" w14:textId="280F9FF2"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18D2E2" id="_x0000_t202" coordsize="21600,21600" o:spt="202" path="m,l,21600r21600,l21600,xe">
              <v:stroke joinstyle="miter"/>
              <v:path gradientshapeok="t" o:connecttype="rect"/>
            </v:shapetype>
            <v:shape id="Cuadro de texto 3" o:spid="_x0000_s1027" type="#_x0000_t202" alt="Internal" style="position:absolute;margin-left:0;margin-top:0;width:31.95pt;height:2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" filled="f" stroked="f">
              <v:textbox style="mso-fit-shape-to-text:t" inset="0,15pt,0,0">
                <w:txbxContent>
                  <w:p w14:paraId="443E60AD" w14:textId="280F9FF2"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v:textbox>
              <w10:wrap anchorx="page" anchory="page"/>
            </v:shape>
          </w:pict>
        </mc:Fallback>
      </mc:AlternateContent>
    </w:r>
    <w:r w:rsidR="00B604AC">
      <mc:AlternateContent>
        <mc:Choice Requires="wps">
          <w:drawing>
            <wp:anchor distT="0" distB="0" distL="114300" distR="114300" simplePos="0" relativeHeight="251658243" behindDoc="0" locked="0" layoutInCell="1" allowOverlap="1" wp14:anchorId="47A379D0" wp14:editId="6584EE7C">
              <wp:simplePos x="0" y="0"/>
              <wp:positionH relativeFrom="column">
                <wp:posOffset>15875</wp:posOffset>
              </wp:positionH>
              <wp:positionV relativeFrom="paragraph">
                <wp:posOffset>972185</wp:posOffset>
              </wp:positionV>
              <wp:extent cx="5400000" cy="612000"/>
              <wp:effectExtent l="0" t="0" r="10795" b="17145"/>
              <wp:wrapTopAndBottom/>
              <wp:docPr id="4" name="Rechteck 4"/>
              <wp:cNvGraphicFramePr/>
              <a:graphic xmlns:a="http://schemas.openxmlformats.org/drawingml/2006/main">
                <a:graphicData uri="http://schemas.microsoft.com/office/word/2010/wordprocessingShape">
                  <wps:wsp>
                    <wps:cNvSpPr/>
                    <wps:spPr>
                      <a:xfrm>
                        <a:off x="0" y="0"/>
                        <a:ext cx="5400000" cy="6120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700FD" id="Rechteck 4" o:spid="_x0000_s1026" style="position:absolute;margin-left:1.25pt;margin-top:76.55pt;width:425.2pt;height:48.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" fillcolor="white [3213]" strokecolor="white [3213]" strokeweight="2pt">
              <w10:wrap type="topAndBottom"/>
            </v:rect>
          </w:pict>
        </mc:Fallback>
      </mc:AlternateContent>
    </w:r>
    <w:r w:rsidR="00A76C73">
      <mc:AlternateContent>
        <mc:Choice Requires="wps">
          <w:drawing>
            <wp:anchor distT="0" distB="0" distL="114300" distR="114300" simplePos="0" relativeHeight="251658241" behindDoc="0" locked="1" layoutInCell="1" allowOverlap="1" wp14:anchorId="37BE07A7" wp14:editId="10386E22">
              <wp:simplePos x="0" y="0"/>
              <wp:positionH relativeFrom="page">
                <wp:posOffset>485775</wp:posOffset>
              </wp:positionH>
              <wp:positionV relativeFrom="page">
                <wp:posOffset>2016125</wp:posOffset>
              </wp:positionV>
              <wp:extent cx="1033200" cy="885600"/>
              <wp:effectExtent l="0" t="0" r="14605" b="10160"/>
              <wp:wrapNone/>
              <wp:docPr id="10" name="Textfeld 10"/>
              <wp:cNvGraphicFramePr/>
              <a:graphic xmlns:a="http://schemas.openxmlformats.org/drawingml/2006/main">
                <a:graphicData uri="http://schemas.microsoft.com/office/word/2010/wordprocessingShape">
                  <wps:wsp>
                    <wps:cNvSpPr txBox="1"/>
                    <wps:spPr>
                      <a:xfrm>
                        <a:off x="0" y="0"/>
                        <a:ext cx="1033200" cy="885600"/>
                      </a:xfrm>
                      <a:prstGeom prst="rect">
                        <a:avLst/>
                      </a:prstGeom>
                      <a:noFill/>
                      <a:ln w="6350">
                        <a:noFill/>
                      </a:ln>
                    </wps:spPr>
                    <wps:txbx>
                      <w:txbxContent>
                        <w:p w14:paraId="4AE21A15" w14:textId="0D3574EE" w:rsidR="00A76C73" w:rsidRDefault="00320CAB" w:rsidP="00685E57">
                          <w:pPr>
                            <w:pStyle w:val="AZ-PDate"/>
                          </w:pPr>
                          <w:fldSimple w:instr=" STYLEREF  &quot;AZ-P Date&quot;  \* MERGEFORMAT ">
                            <w:r w:rsidR="00555AC2">
                              <w:t>19 Octubre de 2026</w:t>
                            </w:r>
                          </w:fldSimple>
                        </w:p>
                        <w:p w14:paraId="5F0F6D58" w14:textId="09C55607" w:rsidR="005D10A6" w:rsidRPr="005D10A6" w:rsidRDefault="00320CAB" w:rsidP="00685E57">
                          <w:pPr>
                            <w:pStyle w:val="AZ-PDate"/>
                          </w:pPr>
                          <w:fldSimple w:instr=" STYLEREF  &quot;AZ-P Date2&quot;  \* MERGEFORMAT ">
                            <w:r w:rsidR="00555AC2">
                              <w:t>Madrid</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E07A7" id="Textfeld 10" o:spid="_x0000_s1028" type="#_x0000_t202" style="position:absolute;margin-left:38.25pt;margin-top:158.75pt;width:81.35pt;height:69.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" filled="f" stroked="f" strokeweight=".5pt">
              <v:textbox inset="0,0,0,0">
                <w:txbxContent>
                  <w:p w14:paraId="4AE21A15" w14:textId="0D3574EE" w:rsidR="00A76C73" w:rsidRDefault="00320CAB" w:rsidP="00685E57">
                    <w:pPr>
                      <w:pStyle w:val="AZ-PDate"/>
                    </w:pPr>
                    <w:fldSimple w:instr=" STYLEREF  &quot;AZ-P Date&quot;  \* MERGEFORMAT ">
                      <w:r w:rsidR="00555AC2">
                        <w:t>19 Octubre de 2026</w:t>
                      </w:r>
                    </w:fldSimple>
                  </w:p>
                  <w:p w14:paraId="5F0F6D58" w14:textId="09C55607" w:rsidR="005D10A6" w:rsidRPr="005D10A6" w:rsidRDefault="00320CAB" w:rsidP="00685E57">
                    <w:pPr>
                      <w:pStyle w:val="AZ-PDate"/>
                    </w:pPr>
                    <w:fldSimple w:instr=" STYLEREF  &quot;AZ-P Date2&quot;  \* MERGEFORMAT ">
                      <w:r w:rsidR="00555AC2">
                        <w:t>Madrid</w:t>
                      </w:r>
                    </w:fldSimple>
                  </w:p>
                </w:txbxContent>
              </v:textbox>
              <w10:wrap anchorx="page" anchory="page"/>
              <w10:anchorlock/>
            </v:shape>
          </w:pict>
        </mc:Fallback>
      </mc:AlternateContent>
    </w:r>
    <w:r w:rsidR="00F77599">
      <w:drawing>
        <wp:anchor distT="0" distB="0" distL="114300" distR="114300" simplePos="0" relativeHeight="251658240" behindDoc="0" locked="1" layoutInCell="1" allowOverlap="1" wp14:anchorId="5FE5C75F" wp14:editId="0D1E6A1F">
          <wp:simplePos x="0" y="0"/>
          <wp:positionH relativeFrom="page">
            <wp:posOffset>488950</wp:posOffset>
          </wp:positionH>
          <wp:positionV relativeFrom="page">
            <wp:posOffset>490220</wp:posOffset>
          </wp:positionV>
          <wp:extent cx="1439545" cy="359410"/>
          <wp:effectExtent l="0" t="0" r="8255" b="254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39545" cy="35941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14D" w14:textId="285A37D8" w:rsidR="00A76C73" w:rsidRDefault="001C10B7" w:rsidP="009F69DD">
    <w:pPr>
      <w:pStyle w:val="Encabezado"/>
    </w:pPr>
    <w:r>
      <mc:AlternateContent>
        <mc:Choice Requires="wps">
          <w:drawing>
            <wp:anchor distT="0" distB="0" distL="0" distR="0" simplePos="0" relativeHeight="251658244" behindDoc="0" locked="0" layoutInCell="1" allowOverlap="1" wp14:anchorId="281D334F" wp14:editId="694B92F5">
              <wp:simplePos x="1623060" y="449580"/>
              <wp:positionH relativeFrom="page">
                <wp:align>center</wp:align>
              </wp:positionH>
              <wp:positionV relativeFrom="page">
                <wp:align>top</wp:align>
              </wp:positionV>
              <wp:extent cx="405765" cy="355600"/>
              <wp:effectExtent l="0" t="0" r="13335" b="6350"/>
              <wp:wrapNone/>
              <wp:docPr id="1786427490" name="Cuadro de texto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5765" cy="355600"/>
                      </a:xfrm>
                      <a:prstGeom prst="rect">
                        <a:avLst/>
                      </a:prstGeom>
                      <a:noFill/>
                      <a:ln>
                        <a:noFill/>
                      </a:ln>
                    </wps:spPr>
                    <wps:txbx>
                      <w:txbxContent>
                        <w:p w14:paraId="6CF1F425" w14:textId="19301233"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1D334F" id="_x0000_t202" coordsize="21600,21600" o:spt="202" path="m,l,21600r21600,l21600,xe">
              <v:stroke joinstyle="miter"/>
              <v:path gradientshapeok="t" o:connecttype="rect"/>
            </v:shapetype>
            <v:shape id="Cuadro de texto 1" o:spid="_x0000_s1029" type="#_x0000_t202" alt="Internal" style="position:absolute;margin-left:0;margin-top:0;width:31.95pt;height:2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" filled="f" stroked="f">
              <v:textbox style="mso-fit-shape-to-text:t" inset="0,15pt,0,0">
                <w:txbxContent>
                  <w:p w14:paraId="6CF1F425" w14:textId="19301233" w:rsidR="001C10B7" w:rsidRPr="001C10B7" w:rsidRDefault="001C10B7" w:rsidP="001C10B7">
                    <w:pPr>
                      <w:rPr>
                        <w:rFonts w:ascii="Calibri" w:eastAsia="Calibri" w:hAnsi="Calibri" w:cs="Calibri"/>
                        <w:color w:val="000000"/>
                        <w:szCs w:val="20"/>
                      </w:rPr>
                    </w:pPr>
                    <w:r w:rsidRPr="001C10B7">
                      <w:rPr>
                        <w:rFonts w:ascii="Calibri" w:eastAsia="Calibri" w:hAnsi="Calibri" w:cs="Calibri"/>
                        <w:color w:val="000000"/>
                        <w:szCs w:val="20"/>
                      </w:rPr>
                      <w:t>Internal</w:t>
                    </w:r>
                  </w:p>
                </w:txbxContent>
              </v:textbox>
              <w10:wrap anchorx="page" anchory="page"/>
            </v:shape>
          </w:pict>
        </mc:Fallback>
      </mc:AlternateContent>
    </w:r>
    <w:r w:rsidR="00A76C73">
      <w:drawing>
        <wp:anchor distT="0" distB="0" distL="114300" distR="114300" simplePos="0" relativeHeight="251658242" behindDoc="0" locked="1" layoutInCell="1" allowOverlap="1" wp14:anchorId="62D9DC3C" wp14:editId="5AE2D3BF">
          <wp:simplePos x="0" y="0"/>
          <wp:positionH relativeFrom="page">
            <wp:posOffset>497840</wp:posOffset>
          </wp:positionH>
          <wp:positionV relativeFrom="page">
            <wp:posOffset>486410</wp:posOffset>
          </wp:positionV>
          <wp:extent cx="1439545" cy="359410"/>
          <wp:effectExtent l="0" t="0" r="8255" b="254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39545" cy="359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6E9"/>
    <w:multiLevelType w:val="hybridMultilevel"/>
    <w:tmpl w:val="5A2EF430"/>
    <w:lvl w:ilvl="0" w:tplc="5AC242A4">
      <w:start w:val="1"/>
      <w:numFmt w:val="bullet"/>
      <w:pStyle w:val="AZ-PList"/>
      <w:lvlText w:val="•"/>
      <w:lvlJc w:val="left"/>
      <w:pPr>
        <w:ind w:left="720" w:hanging="360"/>
      </w:pPr>
      <w:rPr>
        <w:rFonts w:ascii="Allianz Neo" w:hAnsi="Allianz Neo" w:hint="default"/>
        <w:color w:val="003781"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075D50"/>
    <w:multiLevelType w:val="multilevel"/>
    <w:tmpl w:val="189EB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24DCB"/>
    <w:multiLevelType w:val="multilevel"/>
    <w:tmpl w:val="579E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645E8"/>
    <w:multiLevelType w:val="multilevel"/>
    <w:tmpl w:val="277E6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0779D"/>
    <w:multiLevelType w:val="multilevel"/>
    <w:tmpl w:val="3E0C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7C2039"/>
    <w:multiLevelType w:val="hybridMultilevel"/>
    <w:tmpl w:val="A7584E7E"/>
    <w:lvl w:ilvl="0" w:tplc="437A2BF8">
      <w:start w:val="1"/>
      <w:numFmt w:val="decimal"/>
      <w:pStyle w:val="Prrafodelist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F37B26"/>
    <w:multiLevelType w:val="hybridMultilevel"/>
    <w:tmpl w:val="5614B2B4"/>
    <w:lvl w:ilvl="0" w:tplc="1A6C24AE">
      <w:start w:val="1"/>
      <w:numFmt w:val="bullet"/>
      <w:lvlText w:val=""/>
      <w:lvlJc w:val="left"/>
      <w:pPr>
        <w:ind w:left="1741" w:hanging="360"/>
      </w:pPr>
      <w:rPr>
        <w:rFonts w:ascii="Symbol" w:hAnsi="Symbol" w:hint="default"/>
      </w:rPr>
    </w:lvl>
    <w:lvl w:ilvl="1" w:tplc="08090003" w:tentative="1">
      <w:start w:val="1"/>
      <w:numFmt w:val="bullet"/>
      <w:lvlText w:val="o"/>
      <w:lvlJc w:val="left"/>
      <w:pPr>
        <w:ind w:left="2461" w:hanging="360"/>
      </w:pPr>
      <w:rPr>
        <w:rFonts w:ascii="Courier New" w:hAnsi="Courier New" w:cs="Courier New" w:hint="default"/>
      </w:rPr>
    </w:lvl>
    <w:lvl w:ilvl="2" w:tplc="08090005" w:tentative="1">
      <w:start w:val="1"/>
      <w:numFmt w:val="bullet"/>
      <w:lvlText w:val=""/>
      <w:lvlJc w:val="left"/>
      <w:pPr>
        <w:ind w:left="3181" w:hanging="360"/>
      </w:pPr>
      <w:rPr>
        <w:rFonts w:ascii="Wingdings" w:hAnsi="Wingdings" w:hint="default"/>
      </w:rPr>
    </w:lvl>
    <w:lvl w:ilvl="3" w:tplc="08090001" w:tentative="1">
      <w:start w:val="1"/>
      <w:numFmt w:val="bullet"/>
      <w:lvlText w:val=""/>
      <w:lvlJc w:val="left"/>
      <w:pPr>
        <w:ind w:left="3901" w:hanging="360"/>
      </w:pPr>
      <w:rPr>
        <w:rFonts w:ascii="Symbol" w:hAnsi="Symbol" w:hint="default"/>
      </w:rPr>
    </w:lvl>
    <w:lvl w:ilvl="4" w:tplc="08090003" w:tentative="1">
      <w:start w:val="1"/>
      <w:numFmt w:val="bullet"/>
      <w:lvlText w:val="o"/>
      <w:lvlJc w:val="left"/>
      <w:pPr>
        <w:ind w:left="4621" w:hanging="360"/>
      </w:pPr>
      <w:rPr>
        <w:rFonts w:ascii="Courier New" w:hAnsi="Courier New" w:cs="Courier New" w:hint="default"/>
      </w:rPr>
    </w:lvl>
    <w:lvl w:ilvl="5" w:tplc="08090005" w:tentative="1">
      <w:start w:val="1"/>
      <w:numFmt w:val="bullet"/>
      <w:lvlText w:val=""/>
      <w:lvlJc w:val="left"/>
      <w:pPr>
        <w:ind w:left="5341" w:hanging="360"/>
      </w:pPr>
      <w:rPr>
        <w:rFonts w:ascii="Wingdings" w:hAnsi="Wingdings" w:hint="default"/>
      </w:rPr>
    </w:lvl>
    <w:lvl w:ilvl="6" w:tplc="08090001" w:tentative="1">
      <w:start w:val="1"/>
      <w:numFmt w:val="bullet"/>
      <w:lvlText w:val=""/>
      <w:lvlJc w:val="left"/>
      <w:pPr>
        <w:ind w:left="6061" w:hanging="360"/>
      </w:pPr>
      <w:rPr>
        <w:rFonts w:ascii="Symbol" w:hAnsi="Symbol" w:hint="default"/>
      </w:rPr>
    </w:lvl>
    <w:lvl w:ilvl="7" w:tplc="08090003" w:tentative="1">
      <w:start w:val="1"/>
      <w:numFmt w:val="bullet"/>
      <w:lvlText w:val="o"/>
      <w:lvlJc w:val="left"/>
      <w:pPr>
        <w:ind w:left="6781" w:hanging="360"/>
      </w:pPr>
      <w:rPr>
        <w:rFonts w:ascii="Courier New" w:hAnsi="Courier New" w:cs="Courier New" w:hint="default"/>
      </w:rPr>
    </w:lvl>
    <w:lvl w:ilvl="8" w:tplc="08090005" w:tentative="1">
      <w:start w:val="1"/>
      <w:numFmt w:val="bullet"/>
      <w:lvlText w:val=""/>
      <w:lvlJc w:val="left"/>
      <w:pPr>
        <w:ind w:left="7501" w:hanging="360"/>
      </w:pPr>
      <w:rPr>
        <w:rFonts w:ascii="Wingdings" w:hAnsi="Wingdings" w:hint="default"/>
      </w:rPr>
    </w:lvl>
  </w:abstractNum>
  <w:abstractNum w:abstractNumId="7" w15:restartNumberingAfterBreak="0">
    <w:nsid w:val="6FB1197E"/>
    <w:multiLevelType w:val="multilevel"/>
    <w:tmpl w:val="4506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479300">
    <w:abstractNumId w:val="6"/>
  </w:num>
  <w:num w:numId="2" w16cid:durableId="1653870575">
    <w:abstractNumId w:val="5"/>
  </w:num>
  <w:num w:numId="3" w16cid:durableId="1984919546">
    <w:abstractNumId w:val="5"/>
  </w:num>
  <w:num w:numId="4" w16cid:durableId="1463033047">
    <w:abstractNumId w:val="0"/>
  </w:num>
  <w:num w:numId="5" w16cid:durableId="1036155433">
    <w:abstractNumId w:val="7"/>
  </w:num>
  <w:num w:numId="6" w16cid:durableId="1786147782">
    <w:abstractNumId w:val="2"/>
  </w:num>
  <w:num w:numId="7" w16cid:durableId="314604066">
    <w:abstractNumId w:val="3"/>
  </w:num>
  <w:num w:numId="8" w16cid:durableId="699745230">
    <w:abstractNumId w:val="1"/>
  </w:num>
  <w:num w:numId="9" w16cid:durableId="529342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6C"/>
    <w:rsid w:val="00000B6D"/>
    <w:rsid w:val="000029A7"/>
    <w:rsid w:val="000074E6"/>
    <w:rsid w:val="00007825"/>
    <w:rsid w:val="000200E3"/>
    <w:rsid w:val="0002719A"/>
    <w:rsid w:val="00036A5B"/>
    <w:rsid w:val="000373C1"/>
    <w:rsid w:val="000419D4"/>
    <w:rsid w:val="00044441"/>
    <w:rsid w:val="00045A3B"/>
    <w:rsid w:val="00046C59"/>
    <w:rsid w:val="00070BAA"/>
    <w:rsid w:val="000720AE"/>
    <w:rsid w:val="00083FD4"/>
    <w:rsid w:val="00086F4C"/>
    <w:rsid w:val="00096FB4"/>
    <w:rsid w:val="000C2D55"/>
    <w:rsid w:val="000C2EDE"/>
    <w:rsid w:val="000C3C7B"/>
    <w:rsid w:val="000D3A8D"/>
    <w:rsid w:val="000E6184"/>
    <w:rsid w:val="000E6B9C"/>
    <w:rsid w:val="000F0E23"/>
    <w:rsid w:val="000F1E99"/>
    <w:rsid w:val="000F27B0"/>
    <w:rsid w:val="000F486B"/>
    <w:rsid w:val="000F5C2B"/>
    <w:rsid w:val="000F63A4"/>
    <w:rsid w:val="001009AA"/>
    <w:rsid w:val="001155D0"/>
    <w:rsid w:val="00136E61"/>
    <w:rsid w:val="00137935"/>
    <w:rsid w:val="001400F2"/>
    <w:rsid w:val="00142B3A"/>
    <w:rsid w:val="001517EB"/>
    <w:rsid w:val="00156935"/>
    <w:rsid w:val="00161660"/>
    <w:rsid w:val="0019318F"/>
    <w:rsid w:val="00196902"/>
    <w:rsid w:val="001A1DB5"/>
    <w:rsid w:val="001A60DD"/>
    <w:rsid w:val="001C10B7"/>
    <w:rsid w:val="001C37F7"/>
    <w:rsid w:val="001E6D1C"/>
    <w:rsid w:val="002202C5"/>
    <w:rsid w:val="00230132"/>
    <w:rsid w:val="00234F6A"/>
    <w:rsid w:val="0024492E"/>
    <w:rsid w:val="002461FD"/>
    <w:rsid w:val="00274FDE"/>
    <w:rsid w:val="002805C5"/>
    <w:rsid w:val="002829BD"/>
    <w:rsid w:val="00283B54"/>
    <w:rsid w:val="00285A83"/>
    <w:rsid w:val="002A0C15"/>
    <w:rsid w:val="002A3BBA"/>
    <w:rsid w:val="002A6988"/>
    <w:rsid w:val="002B6FF5"/>
    <w:rsid w:val="002B7871"/>
    <w:rsid w:val="002C215C"/>
    <w:rsid w:val="002D275D"/>
    <w:rsid w:val="002D74F5"/>
    <w:rsid w:val="002F0681"/>
    <w:rsid w:val="002F4B2D"/>
    <w:rsid w:val="00304C55"/>
    <w:rsid w:val="0030797F"/>
    <w:rsid w:val="0031644F"/>
    <w:rsid w:val="00320CAB"/>
    <w:rsid w:val="003236DD"/>
    <w:rsid w:val="00327D08"/>
    <w:rsid w:val="00332FC3"/>
    <w:rsid w:val="0034286C"/>
    <w:rsid w:val="003527BA"/>
    <w:rsid w:val="0037149F"/>
    <w:rsid w:val="00376D98"/>
    <w:rsid w:val="00397CA6"/>
    <w:rsid w:val="003A1442"/>
    <w:rsid w:val="003C3BC3"/>
    <w:rsid w:val="003D5302"/>
    <w:rsid w:val="003F7394"/>
    <w:rsid w:val="00402ED6"/>
    <w:rsid w:val="00414B3B"/>
    <w:rsid w:val="004161CB"/>
    <w:rsid w:val="00426FAF"/>
    <w:rsid w:val="0043201B"/>
    <w:rsid w:val="00434485"/>
    <w:rsid w:val="004459B8"/>
    <w:rsid w:val="00450A1F"/>
    <w:rsid w:val="00477E82"/>
    <w:rsid w:val="004861A7"/>
    <w:rsid w:val="004879EB"/>
    <w:rsid w:val="0049541C"/>
    <w:rsid w:val="00497F68"/>
    <w:rsid w:val="004B19CF"/>
    <w:rsid w:val="004B1A37"/>
    <w:rsid w:val="004C631A"/>
    <w:rsid w:val="004C71AD"/>
    <w:rsid w:val="004D06FB"/>
    <w:rsid w:val="004D7BCB"/>
    <w:rsid w:val="004E424C"/>
    <w:rsid w:val="004E5839"/>
    <w:rsid w:val="004F4540"/>
    <w:rsid w:val="004F5F4D"/>
    <w:rsid w:val="005072B6"/>
    <w:rsid w:val="00510D47"/>
    <w:rsid w:val="0051443F"/>
    <w:rsid w:val="0051799E"/>
    <w:rsid w:val="00524270"/>
    <w:rsid w:val="005341C5"/>
    <w:rsid w:val="005468B0"/>
    <w:rsid w:val="00555AC2"/>
    <w:rsid w:val="00563350"/>
    <w:rsid w:val="00564F67"/>
    <w:rsid w:val="0056701E"/>
    <w:rsid w:val="00572E3B"/>
    <w:rsid w:val="0057615F"/>
    <w:rsid w:val="00581168"/>
    <w:rsid w:val="00586880"/>
    <w:rsid w:val="005879DB"/>
    <w:rsid w:val="00592898"/>
    <w:rsid w:val="00592B78"/>
    <w:rsid w:val="00594730"/>
    <w:rsid w:val="0059679C"/>
    <w:rsid w:val="005971FB"/>
    <w:rsid w:val="005A029D"/>
    <w:rsid w:val="005A462F"/>
    <w:rsid w:val="005C1EAF"/>
    <w:rsid w:val="005C6496"/>
    <w:rsid w:val="005C7E2D"/>
    <w:rsid w:val="005D033C"/>
    <w:rsid w:val="005D10A6"/>
    <w:rsid w:val="005E06F1"/>
    <w:rsid w:val="005E66B0"/>
    <w:rsid w:val="005F07DC"/>
    <w:rsid w:val="00601657"/>
    <w:rsid w:val="00622DC1"/>
    <w:rsid w:val="00630C7F"/>
    <w:rsid w:val="00660586"/>
    <w:rsid w:val="00660C0C"/>
    <w:rsid w:val="006717CF"/>
    <w:rsid w:val="00680576"/>
    <w:rsid w:val="00685E57"/>
    <w:rsid w:val="006868C2"/>
    <w:rsid w:val="00686CD6"/>
    <w:rsid w:val="00693FCA"/>
    <w:rsid w:val="0069617D"/>
    <w:rsid w:val="006A565A"/>
    <w:rsid w:val="006B23B3"/>
    <w:rsid w:val="006B767D"/>
    <w:rsid w:val="006C4687"/>
    <w:rsid w:val="006C760F"/>
    <w:rsid w:val="006E1400"/>
    <w:rsid w:val="006E7818"/>
    <w:rsid w:val="006F43EF"/>
    <w:rsid w:val="007128DB"/>
    <w:rsid w:val="00716D0B"/>
    <w:rsid w:val="007251AD"/>
    <w:rsid w:val="0072538C"/>
    <w:rsid w:val="00735FA6"/>
    <w:rsid w:val="00740B74"/>
    <w:rsid w:val="00740D36"/>
    <w:rsid w:val="00741891"/>
    <w:rsid w:val="00743A14"/>
    <w:rsid w:val="0074603E"/>
    <w:rsid w:val="00747181"/>
    <w:rsid w:val="00765B2A"/>
    <w:rsid w:val="00780F6C"/>
    <w:rsid w:val="00786760"/>
    <w:rsid w:val="00790E1D"/>
    <w:rsid w:val="007938BB"/>
    <w:rsid w:val="007A2E26"/>
    <w:rsid w:val="007A3DD9"/>
    <w:rsid w:val="007A4629"/>
    <w:rsid w:val="007A4A1A"/>
    <w:rsid w:val="007C00A1"/>
    <w:rsid w:val="007C14CF"/>
    <w:rsid w:val="007D01A7"/>
    <w:rsid w:val="007E2CE4"/>
    <w:rsid w:val="007E68DC"/>
    <w:rsid w:val="007F3F76"/>
    <w:rsid w:val="008109B4"/>
    <w:rsid w:val="008114AF"/>
    <w:rsid w:val="0081556A"/>
    <w:rsid w:val="00821F83"/>
    <w:rsid w:val="00827A62"/>
    <w:rsid w:val="00843104"/>
    <w:rsid w:val="0085093A"/>
    <w:rsid w:val="00851B1B"/>
    <w:rsid w:val="0085234F"/>
    <w:rsid w:val="00853D8C"/>
    <w:rsid w:val="0085528A"/>
    <w:rsid w:val="008553C1"/>
    <w:rsid w:val="00860091"/>
    <w:rsid w:val="00860641"/>
    <w:rsid w:val="008640C9"/>
    <w:rsid w:val="00884D5B"/>
    <w:rsid w:val="0089346F"/>
    <w:rsid w:val="008A1EA1"/>
    <w:rsid w:val="008A2466"/>
    <w:rsid w:val="008C1C4E"/>
    <w:rsid w:val="008C6063"/>
    <w:rsid w:val="008D1A1F"/>
    <w:rsid w:val="008E3D27"/>
    <w:rsid w:val="008F3C24"/>
    <w:rsid w:val="00903A01"/>
    <w:rsid w:val="009248C8"/>
    <w:rsid w:val="00932F63"/>
    <w:rsid w:val="00961532"/>
    <w:rsid w:val="0096535D"/>
    <w:rsid w:val="0097393A"/>
    <w:rsid w:val="00982189"/>
    <w:rsid w:val="00985475"/>
    <w:rsid w:val="009974E6"/>
    <w:rsid w:val="009B0246"/>
    <w:rsid w:val="009B16E6"/>
    <w:rsid w:val="009B4717"/>
    <w:rsid w:val="009B4723"/>
    <w:rsid w:val="009D0095"/>
    <w:rsid w:val="009D0A21"/>
    <w:rsid w:val="009E2B08"/>
    <w:rsid w:val="009E3DB3"/>
    <w:rsid w:val="009E62A2"/>
    <w:rsid w:val="009F3681"/>
    <w:rsid w:val="009F69DD"/>
    <w:rsid w:val="00A062B0"/>
    <w:rsid w:val="00A17D70"/>
    <w:rsid w:val="00A24956"/>
    <w:rsid w:val="00A27974"/>
    <w:rsid w:val="00A42E83"/>
    <w:rsid w:val="00A44F6D"/>
    <w:rsid w:val="00A554DF"/>
    <w:rsid w:val="00A62D3D"/>
    <w:rsid w:val="00A63774"/>
    <w:rsid w:val="00A718D0"/>
    <w:rsid w:val="00A76C73"/>
    <w:rsid w:val="00A81742"/>
    <w:rsid w:val="00A820DD"/>
    <w:rsid w:val="00A90DBF"/>
    <w:rsid w:val="00AA785C"/>
    <w:rsid w:val="00AB7E29"/>
    <w:rsid w:val="00AC4DE1"/>
    <w:rsid w:val="00AC56EC"/>
    <w:rsid w:val="00AF1D62"/>
    <w:rsid w:val="00AF444D"/>
    <w:rsid w:val="00B1634E"/>
    <w:rsid w:val="00B266D1"/>
    <w:rsid w:val="00B31878"/>
    <w:rsid w:val="00B361DA"/>
    <w:rsid w:val="00B36376"/>
    <w:rsid w:val="00B47102"/>
    <w:rsid w:val="00B55C7D"/>
    <w:rsid w:val="00B604AC"/>
    <w:rsid w:val="00B63EEA"/>
    <w:rsid w:val="00B7055A"/>
    <w:rsid w:val="00B738A0"/>
    <w:rsid w:val="00B86ED7"/>
    <w:rsid w:val="00BA0952"/>
    <w:rsid w:val="00BA1BDD"/>
    <w:rsid w:val="00BA3CBC"/>
    <w:rsid w:val="00BC01E6"/>
    <w:rsid w:val="00BC3CB5"/>
    <w:rsid w:val="00BC5D21"/>
    <w:rsid w:val="00BD0AE0"/>
    <w:rsid w:val="00BD1313"/>
    <w:rsid w:val="00BD281C"/>
    <w:rsid w:val="00BE1639"/>
    <w:rsid w:val="00BE1B51"/>
    <w:rsid w:val="00BF2991"/>
    <w:rsid w:val="00BF5976"/>
    <w:rsid w:val="00C06FE6"/>
    <w:rsid w:val="00C20FF1"/>
    <w:rsid w:val="00C27867"/>
    <w:rsid w:val="00C41818"/>
    <w:rsid w:val="00C551C5"/>
    <w:rsid w:val="00C601B7"/>
    <w:rsid w:val="00C61869"/>
    <w:rsid w:val="00C7096B"/>
    <w:rsid w:val="00C71664"/>
    <w:rsid w:val="00C71E91"/>
    <w:rsid w:val="00C82EED"/>
    <w:rsid w:val="00C86133"/>
    <w:rsid w:val="00C9370C"/>
    <w:rsid w:val="00C96994"/>
    <w:rsid w:val="00CA1D5C"/>
    <w:rsid w:val="00CB0887"/>
    <w:rsid w:val="00CC6F0E"/>
    <w:rsid w:val="00CC7C04"/>
    <w:rsid w:val="00CD4CE7"/>
    <w:rsid w:val="00CE20D8"/>
    <w:rsid w:val="00CE7654"/>
    <w:rsid w:val="00D04DE6"/>
    <w:rsid w:val="00D07285"/>
    <w:rsid w:val="00D076B3"/>
    <w:rsid w:val="00D11FFE"/>
    <w:rsid w:val="00D12F38"/>
    <w:rsid w:val="00D246BD"/>
    <w:rsid w:val="00D3118E"/>
    <w:rsid w:val="00D35B7F"/>
    <w:rsid w:val="00D452A8"/>
    <w:rsid w:val="00D5427B"/>
    <w:rsid w:val="00D55C48"/>
    <w:rsid w:val="00D562FE"/>
    <w:rsid w:val="00D56A62"/>
    <w:rsid w:val="00D64E37"/>
    <w:rsid w:val="00D66498"/>
    <w:rsid w:val="00D70220"/>
    <w:rsid w:val="00D72469"/>
    <w:rsid w:val="00D73273"/>
    <w:rsid w:val="00DA6907"/>
    <w:rsid w:val="00DC2140"/>
    <w:rsid w:val="00DD492D"/>
    <w:rsid w:val="00DE1478"/>
    <w:rsid w:val="00DF3BC7"/>
    <w:rsid w:val="00E0644E"/>
    <w:rsid w:val="00E16A7C"/>
    <w:rsid w:val="00E27BAA"/>
    <w:rsid w:val="00E3092C"/>
    <w:rsid w:val="00E32097"/>
    <w:rsid w:val="00E3290C"/>
    <w:rsid w:val="00E354D1"/>
    <w:rsid w:val="00E54338"/>
    <w:rsid w:val="00E547E3"/>
    <w:rsid w:val="00E549EE"/>
    <w:rsid w:val="00E56C66"/>
    <w:rsid w:val="00E61CB6"/>
    <w:rsid w:val="00E63962"/>
    <w:rsid w:val="00E70515"/>
    <w:rsid w:val="00E763A9"/>
    <w:rsid w:val="00E859F9"/>
    <w:rsid w:val="00E97FB8"/>
    <w:rsid w:val="00EA44BB"/>
    <w:rsid w:val="00EA48EC"/>
    <w:rsid w:val="00EA68D5"/>
    <w:rsid w:val="00EA79E3"/>
    <w:rsid w:val="00EB6C5C"/>
    <w:rsid w:val="00ED21A4"/>
    <w:rsid w:val="00ED4FB4"/>
    <w:rsid w:val="00EE1AA9"/>
    <w:rsid w:val="00EF4A18"/>
    <w:rsid w:val="00EF6A49"/>
    <w:rsid w:val="00F12C84"/>
    <w:rsid w:val="00F16ADD"/>
    <w:rsid w:val="00F16BA3"/>
    <w:rsid w:val="00F36305"/>
    <w:rsid w:val="00F4586B"/>
    <w:rsid w:val="00F658E7"/>
    <w:rsid w:val="00F70CA1"/>
    <w:rsid w:val="00F72E43"/>
    <w:rsid w:val="00F77599"/>
    <w:rsid w:val="00F93955"/>
    <w:rsid w:val="00FA103C"/>
    <w:rsid w:val="00FB687C"/>
    <w:rsid w:val="00FC0412"/>
    <w:rsid w:val="00FC08EF"/>
    <w:rsid w:val="00FC4145"/>
    <w:rsid w:val="00FC7F7C"/>
    <w:rsid w:val="00FF05C4"/>
    <w:rsid w:val="00FF218B"/>
    <w:rsid w:val="00FF57EC"/>
    <w:rsid w:val="00FF64BE"/>
    <w:rsid w:val="0992B63E"/>
    <w:rsid w:val="111506B2"/>
    <w:rsid w:val="16482928"/>
    <w:rsid w:val="19CEF492"/>
    <w:rsid w:val="1B588894"/>
    <w:rsid w:val="1C23C225"/>
    <w:rsid w:val="1CDF5A9B"/>
    <w:rsid w:val="25759E74"/>
    <w:rsid w:val="27198147"/>
    <w:rsid w:val="2A4DA32D"/>
    <w:rsid w:val="2B0D93BC"/>
    <w:rsid w:val="2E60FE66"/>
    <w:rsid w:val="2F94C8DA"/>
    <w:rsid w:val="372339E9"/>
    <w:rsid w:val="3CAFFF77"/>
    <w:rsid w:val="4001E418"/>
    <w:rsid w:val="4180DDE5"/>
    <w:rsid w:val="418EEC73"/>
    <w:rsid w:val="43FE7BA9"/>
    <w:rsid w:val="4432E7B8"/>
    <w:rsid w:val="44B444A5"/>
    <w:rsid w:val="46445728"/>
    <w:rsid w:val="475087E0"/>
    <w:rsid w:val="49D5A50B"/>
    <w:rsid w:val="4A4A733F"/>
    <w:rsid w:val="4AA5864F"/>
    <w:rsid w:val="4CB670C7"/>
    <w:rsid w:val="4E526BA6"/>
    <w:rsid w:val="4E815A89"/>
    <w:rsid w:val="4F4DE978"/>
    <w:rsid w:val="4F98D656"/>
    <w:rsid w:val="57248FDF"/>
    <w:rsid w:val="58903D10"/>
    <w:rsid w:val="5DB57500"/>
    <w:rsid w:val="5E2B4A03"/>
    <w:rsid w:val="64281631"/>
    <w:rsid w:val="657D5D97"/>
    <w:rsid w:val="66BA8F7E"/>
    <w:rsid w:val="66EAAFD7"/>
    <w:rsid w:val="6B71806B"/>
    <w:rsid w:val="6C784A56"/>
    <w:rsid w:val="6C7CB299"/>
    <w:rsid w:val="6DD1F9C6"/>
    <w:rsid w:val="6F37D91F"/>
    <w:rsid w:val="72DDC8F0"/>
    <w:rsid w:val="743340DF"/>
    <w:rsid w:val="746D1967"/>
    <w:rsid w:val="7828EE54"/>
    <w:rsid w:val="7A977DA3"/>
    <w:rsid w:val="7EE6AD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9507"/>
  <w15:chartTrackingRefBased/>
  <w15:docId w15:val="{B10AFEF6-0B1E-4A34-9DF0-1B600A8B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de-DE" w:eastAsia="en-US" w:bidi="ar-SA"/>
      </w:rPr>
    </w:rPrDefault>
    <w:pPrDefault>
      <w:pPr>
        <w:spacing w:line="220" w:lineRule="atLeast"/>
      </w:pPr>
    </w:pPrDefault>
  </w:docDefaults>
  <w:latentStyles w:defLockedState="0" w:defUIPriority="99" w:defSemiHidden="0" w:defUnhideWhenUsed="0" w:defQFormat="0" w:count="376">
    <w:lsdException w:name="Normal" w:uiPriority="0" w:qFormat="1"/>
    <w:lsdException w:name="heading 1" w:uiPriority="9"/>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AZ-P Text"/>
    <w:qFormat/>
    <w:rsid w:val="00982189"/>
    <w:pPr>
      <w:spacing w:line="260" w:lineRule="atLeast"/>
    </w:pPr>
    <w:rPr>
      <w:noProof/>
      <w:sz w:val="20"/>
      <w:lang w:val="en-US"/>
    </w:rPr>
  </w:style>
  <w:style w:type="paragraph" w:styleId="Ttulo1">
    <w:name w:val="heading 1"/>
    <w:aliases w:val="AZ-P Headline Level 1"/>
    <w:basedOn w:val="Normal"/>
    <w:next w:val="Normal"/>
    <w:link w:val="Ttulo1Car"/>
    <w:uiPriority w:val="9"/>
    <w:rsid w:val="00BA3CBC"/>
    <w:pPr>
      <w:keepNext/>
      <w:keepLines/>
      <w:spacing w:after="1130" w:line="800" w:lineRule="exact"/>
      <w:ind w:left="-29" w:hanging="1814"/>
      <w:outlineLvl w:val="0"/>
    </w:pPr>
    <w:rPr>
      <w:rFonts w:asciiTheme="majorHAnsi" w:eastAsiaTheme="majorEastAsia" w:hAnsiTheme="majorHAnsi" w:cstheme="majorBidi"/>
      <w:color w:val="CFCFCF" w:themeColor="text2"/>
      <w:sz w:val="86"/>
      <w:szCs w:val="32"/>
    </w:rPr>
  </w:style>
  <w:style w:type="paragraph" w:styleId="Ttulo2">
    <w:name w:val="heading 2"/>
    <w:aliases w:val="AZ-P Headline Level 2"/>
    <w:basedOn w:val="Ttulo1"/>
    <w:next w:val="Normal"/>
    <w:link w:val="Ttulo2Car"/>
    <w:uiPriority w:val="9"/>
    <w:qFormat/>
    <w:rsid w:val="003236DD"/>
    <w:pPr>
      <w:keepNext w:val="0"/>
      <w:spacing w:before="240" w:after="0" w:line="300" w:lineRule="exact"/>
      <w:ind w:left="0" w:firstLine="0"/>
      <w:outlineLvl w:val="1"/>
    </w:pPr>
    <w:rPr>
      <w:b/>
      <w:color w:val="003781" w:themeColor="background1"/>
      <w:sz w:val="20"/>
    </w:rPr>
  </w:style>
  <w:style w:type="paragraph" w:styleId="Ttulo3">
    <w:name w:val="heading 3"/>
    <w:basedOn w:val="Normal"/>
    <w:next w:val="Normal"/>
    <w:link w:val="Ttulo3Car"/>
    <w:uiPriority w:val="9"/>
    <w:semiHidden/>
    <w:qFormat/>
    <w:rsid w:val="005C6496"/>
    <w:pPr>
      <w:keepNext/>
      <w:keepLines/>
      <w:spacing w:before="40"/>
      <w:outlineLvl w:val="2"/>
    </w:pPr>
    <w:rPr>
      <w:rFonts w:asciiTheme="majorHAnsi" w:eastAsiaTheme="majorEastAsia" w:hAnsiTheme="majorHAnsi" w:cstheme="majorBidi"/>
      <w:color w:val="091529"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semiHidden/>
    <w:rsid w:val="00AA785C"/>
    <w:pPr>
      <w:numPr>
        <w:numId w:val="3"/>
      </w:numPr>
      <w:spacing w:after="280" w:line="280" w:lineRule="atLeast"/>
      <w:contextualSpacing/>
    </w:pPr>
    <w:rPr>
      <w:color w:val="CFCFCF" w:themeColor="text2"/>
    </w:rPr>
  </w:style>
  <w:style w:type="character" w:customStyle="1" w:styleId="Ttulo1Car">
    <w:name w:val="Título 1 Car"/>
    <w:aliases w:val="AZ-P Headline Level 1 Car"/>
    <w:basedOn w:val="Fuentedeprrafopredeter"/>
    <w:link w:val="Ttulo1"/>
    <w:uiPriority w:val="9"/>
    <w:rsid w:val="00BA3CBC"/>
    <w:rPr>
      <w:rFonts w:asciiTheme="majorHAnsi" w:eastAsiaTheme="majorEastAsia" w:hAnsiTheme="majorHAnsi" w:cstheme="majorBidi"/>
      <w:color w:val="CFCFCF" w:themeColor="text2"/>
      <w:sz w:val="86"/>
      <w:szCs w:val="32"/>
      <w:lang w:val="en-GB"/>
    </w:rPr>
  </w:style>
  <w:style w:type="character" w:customStyle="1" w:styleId="AZ-TBrandColorBlue3">
    <w:name w:val="AZ-T Brand Color Blue 3"/>
    <w:uiPriority w:val="1"/>
    <w:qFormat/>
    <w:rsid w:val="006C760F"/>
    <w:rPr>
      <w:color w:val="13A0D3" w:themeColor="accent4"/>
    </w:rPr>
  </w:style>
  <w:style w:type="character" w:customStyle="1" w:styleId="Ttulo2Car">
    <w:name w:val="Título 2 Car"/>
    <w:aliases w:val="AZ-P Headline Level 2 Car"/>
    <w:basedOn w:val="Fuentedeprrafopredeter"/>
    <w:link w:val="Ttulo2"/>
    <w:uiPriority w:val="9"/>
    <w:rsid w:val="003236DD"/>
    <w:rPr>
      <w:rFonts w:asciiTheme="majorHAnsi" w:eastAsiaTheme="majorEastAsia" w:hAnsiTheme="majorHAnsi" w:cstheme="majorBidi"/>
      <w:b/>
      <w:color w:val="003781" w:themeColor="background1"/>
      <w:sz w:val="20"/>
      <w:szCs w:val="32"/>
      <w:lang w:val="en-US"/>
    </w:rPr>
  </w:style>
  <w:style w:type="paragraph" w:customStyle="1" w:styleId="AZ-PSender">
    <w:name w:val="AZ-P Sender"/>
    <w:basedOn w:val="Normal"/>
    <w:link w:val="AZ-PSenderZchn"/>
    <w:qFormat/>
    <w:rsid w:val="00F77599"/>
  </w:style>
  <w:style w:type="paragraph" w:styleId="Encabezado">
    <w:name w:val="header"/>
    <w:basedOn w:val="Normal"/>
    <w:link w:val="EncabezadoCar"/>
    <w:uiPriority w:val="99"/>
    <w:semiHidden/>
    <w:rsid w:val="00F77599"/>
    <w:pPr>
      <w:tabs>
        <w:tab w:val="center" w:pos="4536"/>
        <w:tab w:val="right" w:pos="9072"/>
      </w:tabs>
      <w:spacing w:line="240" w:lineRule="auto"/>
    </w:pPr>
  </w:style>
  <w:style w:type="character" w:customStyle="1" w:styleId="EncabezadoCar">
    <w:name w:val="Encabezado Car"/>
    <w:basedOn w:val="Fuentedeprrafopredeter"/>
    <w:link w:val="Encabezado"/>
    <w:uiPriority w:val="99"/>
    <w:semiHidden/>
    <w:rsid w:val="005A462F"/>
    <w:rPr>
      <w:sz w:val="30"/>
      <w:lang w:val="en-GB"/>
    </w:rPr>
  </w:style>
  <w:style w:type="paragraph" w:styleId="Piedepgina">
    <w:name w:val="footer"/>
    <w:aliases w:val="AT-P Footer"/>
    <w:basedOn w:val="Normal"/>
    <w:link w:val="PiedepginaCar"/>
    <w:uiPriority w:val="99"/>
    <w:rsid w:val="003236DD"/>
    <w:pPr>
      <w:tabs>
        <w:tab w:val="center" w:pos="4536"/>
        <w:tab w:val="right" w:pos="9072"/>
      </w:tabs>
      <w:spacing w:line="180" w:lineRule="exact"/>
    </w:pPr>
    <w:rPr>
      <w:color w:val="003781" w:themeColor="background1"/>
      <w:sz w:val="14"/>
    </w:rPr>
  </w:style>
  <w:style w:type="character" w:customStyle="1" w:styleId="PiedepginaCar">
    <w:name w:val="Pie de página Car"/>
    <w:aliases w:val="AT-P Footer Car"/>
    <w:basedOn w:val="Fuentedeprrafopredeter"/>
    <w:link w:val="Piedepgina"/>
    <w:uiPriority w:val="99"/>
    <w:rsid w:val="003236DD"/>
    <w:rPr>
      <w:color w:val="003781" w:themeColor="background1"/>
      <w:sz w:val="14"/>
      <w:lang w:val="en-US"/>
    </w:rPr>
  </w:style>
  <w:style w:type="paragraph" w:customStyle="1" w:styleId="AZ-PCompany">
    <w:name w:val="AZ-P Company"/>
    <w:basedOn w:val="Normal"/>
    <w:qFormat/>
    <w:rsid w:val="003C3BC3"/>
    <w:pPr>
      <w:spacing w:before="60" w:after="360"/>
      <w:ind w:left="-1843"/>
    </w:pPr>
    <w:rPr>
      <w:rFonts w:ascii="Allianz Neo SemiBold" w:hAnsi="Allianz Neo SemiBold"/>
      <w:caps/>
      <w:color w:val="003781" w:themeColor="background1"/>
      <w:spacing w:val="16"/>
    </w:rPr>
  </w:style>
  <w:style w:type="character" w:styleId="Textodelmarcadordeposicin">
    <w:name w:val="Placeholder Text"/>
    <w:basedOn w:val="Fuentedeprrafopredeter"/>
    <w:uiPriority w:val="99"/>
    <w:semiHidden/>
    <w:rsid w:val="00C71E91"/>
    <w:rPr>
      <w:color w:val="808080"/>
    </w:rPr>
  </w:style>
  <w:style w:type="paragraph" w:customStyle="1" w:styleId="AZ-PDate">
    <w:name w:val="AZ-P Date"/>
    <w:basedOn w:val="AZ-PSender"/>
    <w:link w:val="AZ-PDateZchn"/>
    <w:qFormat/>
    <w:rsid w:val="003236DD"/>
    <w:pPr>
      <w:framePr w:w="1814" w:wrap="around" w:vAnchor="text" w:hAnchor="page" w:y="1"/>
      <w:spacing w:before="20"/>
      <w:contextualSpacing/>
    </w:pPr>
    <w:rPr>
      <w:color w:val="003781" w:themeColor="background1"/>
    </w:rPr>
  </w:style>
  <w:style w:type="paragraph" w:styleId="Subttulo">
    <w:name w:val="Subtitle"/>
    <w:aliases w:val="AZ-P Subtitle"/>
    <w:basedOn w:val="Normal"/>
    <w:next w:val="Normal"/>
    <w:link w:val="SubttuloCar"/>
    <w:uiPriority w:val="11"/>
    <w:qFormat/>
    <w:rsid w:val="003236DD"/>
    <w:pPr>
      <w:numPr>
        <w:ilvl w:val="1"/>
      </w:numPr>
      <w:spacing w:after="240" w:line="360" w:lineRule="exact"/>
    </w:pPr>
    <w:rPr>
      <w:rFonts w:eastAsiaTheme="minorEastAsia"/>
      <w:b/>
      <w:color w:val="003781" w:themeColor="background1"/>
      <w:sz w:val="30"/>
      <w:szCs w:val="22"/>
    </w:rPr>
  </w:style>
  <w:style w:type="character" w:customStyle="1" w:styleId="SubttuloCar">
    <w:name w:val="Subtítulo Car"/>
    <w:aliases w:val="AZ-P Subtitle Car"/>
    <w:basedOn w:val="Fuentedeprrafopredeter"/>
    <w:link w:val="Subttulo"/>
    <w:uiPriority w:val="11"/>
    <w:rsid w:val="003236DD"/>
    <w:rPr>
      <w:rFonts w:eastAsiaTheme="minorEastAsia"/>
      <w:b/>
      <w:color w:val="003781" w:themeColor="background1"/>
      <w:sz w:val="30"/>
      <w:szCs w:val="22"/>
      <w:lang w:val="en-US"/>
    </w:rPr>
  </w:style>
  <w:style w:type="paragraph" w:customStyle="1" w:styleId="AZ-PList">
    <w:name w:val="AZ-P List"/>
    <w:basedOn w:val="Normal"/>
    <w:qFormat/>
    <w:rsid w:val="00E354D1"/>
    <w:pPr>
      <w:numPr>
        <w:numId w:val="4"/>
      </w:numPr>
      <w:spacing w:line="312" w:lineRule="atLeast"/>
      <w:ind w:left="170" w:hanging="170"/>
    </w:pPr>
    <w:rPr>
      <w:b/>
      <w:color w:val="003781" w:themeColor="background1"/>
      <w:sz w:val="24"/>
    </w:rPr>
  </w:style>
  <w:style w:type="table" w:styleId="Tablaconcuadrcula">
    <w:name w:val="Table Grid"/>
    <w:basedOn w:val="Tablanormal"/>
    <w:uiPriority w:val="39"/>
    <w:rsid w:val="007251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PSmall">
    <w:name w:val="AZ-P Small"/>
    <w:basedOn w:val="Normal"/>
    <w:qFormat/>
    <w:rsid w:val="00070BAA"/>
    <w:pPr>
      <w:spacing w:line="168" w:lineRule="exact"/>
    </w:pPr>
    <w:rPr>
      <w:color w:val="414141" w:themeColor="background2"/>
      <w:spacing w:val="1"/>
      <w:sz w:val="14"/>
    </w:rPr>
  </w:style>
  <w:style w:type="table" w:customStyle="1" w:styleId="AZPressContact">
    <w:name w:val="AZ PressContact"/>
    <w:basedOn w:val="Tablanormal"/>
    <w:uiPriority w:val="99"/>
    <w:rsid w:val="0037149F"/>
    <w:pPr>
      <w:spacing w:line="260" w:lineRule="exact"/>
    </w:pPr>
    <w:rPr>
      <w:color w:val="CFCFCF" w:themeColor="text2"/>
      <w:sz w:val="20"/>
    </w:rPr>
    <w:tblPr>
      <w:tblBorders>
        <w:top w:val="single" w:sz="4" w:space="0" w:color="CFCFCF" w:themeColor="text2"/>
        <w:bottom w:val="single" w:sz="4" w:space="0" w:color="CFCFCF" w:themeColor="text2"/>
      </w:tblBorders>
      <w:tblCellMar>
        <w:top w:w="312" w:type="dxa"/>
        <w:left w:w="0" w:type="dxa"/>
        <w:bottom w:w="312" w:type="dxa"/>
        <w:right w:w="0" w:type="dxa"/>
      </w:tblCellMar>
    </w:tblPr>
  </w:style>
  <w:style w:type="paragraph" w:customStyle="1" w:styleId="AZ-PHeadlineLevel2Small">
    <w:name w:val="AZ-P Headline Level 2 Small"/>
    <w:basedOn w:val="Ttulo2"/>
    <w:qFormat/>
    <w:rsid w:val="001155D0"/>
    <w:pPr>
      <w:keepNext/>
      <w:pBdr>
        <w:top w:val="single" w:sz="4" w:space="12" w:color="003781" w:themeColor="background1"/>
      </w:pBdr>
      <w:spacing w:before="0"/>
    </w:pPr>
    <w:rPr>
      <w:sz w:val="14"/>
      <w:szCs w:val="14"/>
    </w:rPr>
  </w:style>
  <w:style w:type="paragraph" w:customStyle="1" w:styleId="StyleHeading1">
    <w:name w:val="Style Heading 1"/>
    <w:aliases w:val="AZ-P Headline Level 1 + Line spacing:  Exactly 48 pt"/>
    <w:basedOn w:val="Ttulo1"/>
    <w:rsid w:val="007A4A1A"/>
    <w:pPr>
      <w:spacing w:after="720" w:line="660" w:lineRule="exact"/>
    </w:pPr>
    <w:rPr>
      <w:rFonts w:eastAsia="Times New Roman" w:cs="Times New Roman"/>
      <w:color w:val="003781" w:themeColor="background1"/>
      <w:sz w:val="60"/>
      <w:szCs w:val="20"/>
    </w:rPr>
  </w:style>
  <w:style w:type="character" w:customStyle="1" w:styleId="StyleText2">
    <w:name w:val="Style Text 2"/>
    <w:basedOn w:val="Fuentedeprrafopredeter"/>
    <w:rsid w:val="003236DD"/>
    <w:rPr>
      <w:color w:val="003781" w:themeColor="background1"/>
      <w:lang w:val="en-US"/>
    </w:rPr>
  </w:style>
  <w:style w:type="character" w:customStyle="1" w:styleId="StyleBoldText2">
    <w:name w:val="Style Bold Text 2"/>
    <w:basedOn w:val="Fuentedeprrafopredeter"/>
    <w:rsid w:val="003236DD"/>
    <w:rPr>
      <w:b/>
      <w:bCs/>
      <w:color w:val="003781" w:themeColor="background1"/>
      <w:lang w:val="en-US"/>
    </w:rPr>
  </w:style>
  <w:style w:type="character" w:customStyle="1" w:styleId="StyleBackground1">
    <w:name w:val="Style Background 1"/>
    <w:basedOn w:val="Fuentedeprrafopredeter"/>
    <w:rsid w:val="00860091"/>
    <w:rPr>
      <w:color w:val="003781" w:themeColor="background1"/>
      <w:lang w:val="en-US"/>
    </w:rPr>
  </w:style>
  <w:style w:type="paragraph" w:customStyle="1" w:styleId="TABtext">
    <w:name w:val="TABtext"/>
    <w:basedOn w:val="Normal"/>
    <w:qFormat/>
    <w:rsid w:val="00B1634E"/>
    <w:pPr>
      <w:spacing w:after="220" w:line="250" w:lineRule="auto"/>
    </w:pPr>
    <w:rPr>
      <w:rFonts w:eastAsia="SimSun"/>
      <w:noProof w:val="0"/>
      <w:color w:val="414141"/>
      <w:sz w:val="18"/>
    </w:rPr>
  </w:style>
  <w:style w:type="paragraph" w:customStyle="1" w:styleId="TABhead">
    <w:name w:val="TABhead"/>
    <w:basedOn w:val="TABtext"/>
    <w:qFormat/>
    <w:rsid w:val="00B1634E"/>
    <w:pPr>
      <w:spacing w:after="0"/>
    </w:pPr>
    <w:rPr>
      <w:b/>
      <w:bCs/>
    </w:rPr>
  </w:style>
  <w:style w:type="paragraph" w:customStyle="1" w:styleId="Endlogo">
    <w:name w:val="Endlogo"/>
    <w:basedOn w:val="TABtext"/>
    <w:qFormat/>
    <w:rsid w:val="00B1634E"/>
    <w:pPr>
      <w:spacing w:before="480" w:after="0" w:line="240" w:lineRule="auto"/>
    </w:pPr>
  </w:style>
  <w:style w:type="paragraph" w:customStyle="1" w:styleId="AZ-PDate2">
    <w:name w:val="AZ-P Date2"/>
    <w:basedOn w:val="AZ-PDate"/>
    <w:link w:val="AZ-PDate2Zchn"/>
    <w:qFormat/>
    <w:rsid w:val="00497F68"/>
    <w:pPr>
      <w:framePr w:wrap="around"/>
      <w:spacing w:before="0"/>
    </w:pPr>
  </w:style>
  <w:style w:type="character" w:customStyle="1" w:styleId="AZ-PSenderZchn">
    <w:name w:val="AZ-P Sender Zchn"/>
    <w:basedOn w:val="Fuentedeprrafopredeter"/>
    <w:link w:val="AZ-PSender"/>
    <w:rsid w:val="00497F68"/>
    <w:rPr>
      <w:noProof/>
      <w:sz w:val="20"/>
      <w:lang w:val="en-US"/>
    </w:rPr>
  </w:style>
  <w:style w:type="character" w:customStyle="1" w:styleId="AZ-PDateZchn">
    <w:name w:val="AZ-P Date Zchn"/>
    <w:basedOn w:val="AZ-PSenderZchn"/>
    <w:link w:val="AZ-PDate"/>
    <w:rsid w:val="00497F68"/>
    <w:rPr>
      <w:noProof/>
      <w:color w:val="003781" w:themeColor="background1"/>
      <w:sz w:val="20"/>
      <w:lang w:val="en-US"/>
    </w:rPr>
  </w:style>
  <w:style w:type="character" w:customStyle="1" w:styleId="AZ-PDate2Zchn">
    <w:name w:val="AZ-P Date2 Zchn"/>
    <w:basedOn w:val="AZ-PDateZchn"/>
    <w:link w:val="AZ-PDate2"/>
    <w:rsid w:val="00497F68"/>
    <w:rPr>
      <w:noProof/>
      <w:color w:val="003781" w:themeColor="background1"/>
      <w:sz w:val="20"/>
      <w:lang w:val="en-US"/>
    </w:rPr>
  </w:style>
  <w:style w:type="character" w:styleId="Hipervnculo">
    <w:name w:val="Hyperlink"/>
    <w:rsid w:val="00FF57EC"/>
    <w:rPr>
      <w:color w:val="0000FF"/>
      <w:u w:val="single"/>
    </w:rPr>
  </w:style>
  <w:style w:type="character" w:styleId="Refdecomentario">
    <w:name w:val="annotation reference"/>
    <w:uiPriority w:val="99"/>
    <w:semiHidden/>
    <w:unhideWhenUsed/>
    <w:rsid w:val="00FF57EC"/>
    <w:rPr>
      <w:sz w:val="16"/>
      <w:szCs w:val="16"/>
    </w:rPr>
  </w:style>
  <w:style w:type="paragraph" w:styleId="Textocomentario">
    <w:name w:val="annotation text"/>
    <w:basedOn w:val="Normal"/>
    <w:link w:val="TextocomentarioCar"/>
    <w:uiPriority w:val="99"/>
    <w:unhideWhenUsed/>
    <w:rsid w:val="00FF57EC"/>
    <w:pPr>
      <w:spacing w:line="240" w:lineRule="auto"/>
    </w:pPr>
    <w:rPr>
      <w:rFonts w:ascii="Arial" w:eastAsia="Times New Roman" w:hAnsi="Arial" w:cs="Times New Roman"/>
      <w:noProof w:val="0"/>
      <w:szCs w:val="20"/>
      <w:lang w:val="es-ES" w:eastAsia="de-DE"/>
    </w:rPr>
  </w:style>
  <w:style w:type="character" w:customStyle="1" w:styleId="TextocomentarioCar">
    <w:name w:val="Texto comentario Car"/>
    <w:basedOn w:val="Fuentedeprrafopredeter"/>
    <w:link w:val="Textocomentario"/>
    <w:uiPriority w:val="99"/>
    <w:rsid w:val="00FF57EC"/>
    <w:rPr>
      <w:rFonts w:ascii="Arial" w:eastAsia="Times New Roman" w:hAnsi="Arial" w:cs="Times New Roman"/>
      <w:sz w:val="20"/>
      <w:szCs w:val="20"/>
      <w:lang w:val="es-ES" w:eastAsia="de-DE"/>
    </w:rPr>
  </w:style>
  <w:style w:type="character" w:styleId="Mencinsinresolver">
    <w:name w:val="Unresolved Mention"/>
    <w:basedOn w:val="Fuentedeprrafopredeter"/>
    <w:uiPriority w:val="99"/>
    <w:semiHidden/>
    <w:rsid w:val="001A60DD"/>
    <w:rPr>
      <w:color w:val="605E5C"/>
      <w:shd w:val="clear" w:color="auto" w:fill="E1DFDD"/>
    </w:rPr>
  </w:style>
  <w:style w:type="paragraph" w:styleId="Revisin">
    <w:name w:val="Revision"/>
    <w:hidden/>
    <w:uiPriority w:val="99"/>
    <w:semiHidden/>
    <w:rsid w:val="00F12C84"/>
    <w:pPr>
      <w:spacing w:line="240" w:lineRule="auto"/>
    </w:pPr>
    <w:rPr>
      <w:noProof/>
      <w:sz w:val="20"/>
      <w:lang w:val="en-US"/>
    </w:rPr>
  </w:style>
  <w:style w:type="paragraph" w:styleId="Asuntodelcomentario">
    <w:name w:val="annotation subject"/>
    <w:basedOn w:val="Textocomentario"/>
    <w:next w:val="Textocomentario"/>
    <w:link w:val="AsuntodelcomentarioCar"/>
    <w:uiPriority w:val="99"/>
    <w:semiHidden/>
    <w:rsid w:val="00C27867"/>
    <w:rPr>
      <w:rFonts w:asciiTheme="minorHAnsi" w:eastAsiaTheme="minorHAnsi" w:hAnsiTheme="minorHAnsi" w:cstheme="minorBidi"/>
      <w:b/>
      <w:bCs/>
      <w:noProof/>
      <w:lang w:val="en-US" w:eastAsia="en-US"/>
    </w:rPr>
  </w:style>
  <w:style w:type="character" w:customStyle="1" w:styleId="AsuntodelcomentarioCar">
    <w:name w:val="Asunto del comentario Car"/>
    <w:basedOn w:val="TextocomentarioCar"/>
    <w:link w:val="Asuntodelcomentario"/>
    <w:uiPriority w:val="99"/>
    <w:semiHidden/>
    <w:rsid w:val="00C27867"/>
    <w:rPr>
      <w:rFonts w:ascii="Arial" w:eastAsia="Times New Roman" w:hAnsi="Arial" w:cs="Times New Roman"/>
      <w:b/>
      <w:bCs/>
      <w:noProof/>
      <w:sz w:val="20"/>
      <w:szCs w:val="20"/>
      <w:lang w:val="en-US" w:eastAsia="de-DE"/>
    </w:rPr>
  </w:style>
  <w:style w:type="paragraph" w:styleId="NormalWeb">
    <w:name w:val="Normal (Web)"/>
    <w:basedOn w:val="Normal"/>
    <w:uiPriority w:val="99"/>
    <w:semiHidden/>
    <w:rsid w:val="00BD0AE0"/>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5C6496"/>
    <w:rPr>
      <w:rFonts w:asciiTheme="majorHAnsi" w:eastAsiaTheme="majorEastAsia" w:hAnsiTheme="majorHAnsi" w:cstheme="majorBidi"/>
      <w:noProof/>
      <w:color w:val="091529"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10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allianz.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llianz.com/en/mediacenter/disclaimer.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107708\AppData\Local\Temp\4ab7566c-2522-4d3f-bb82-81f1743dadaf_AZ_Press_Release_Standard.dotx.zip.daf\AZ_Press_Release_Standa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C3E0BF40AB4F609A145EB81F54600E"/>
        <w:category>
          <w:name w:val="General"/>
          <w:gallery w:val="placeholder"/>
        </w:category>
        <w:types>
          <w:type w:val="bbPlcHdr"/>
        </w:types>
        <w:behaviors>
          <w:behavior w:val="content"/>
        </w:behaviors>
        <w:guid w:val="{EBD1A550-E668-449E-9316-D5A9500520B5}"/>
      </w:docPartPr>
      <w:docPartBody>
        <w:p w:rsidR="00E0644E" w:rsidRDefault="00E0644E">
          <w:pPr>
            <w:pStyle w:val="E7C3E0BF40AB4F609A145EB81F54600E"/>
          </w:pPr>
          <w:r w:rsidRPr="00322BEF">
            <w:rPr>
              <w:rStyle w:val="Textodelmarcadordeposicin"/>
            </w:rPr>
            <w:t>[Firmenadresse]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lianz Neo">
    <w:altName w:val="Calibri"/>
    <w:panose1 w:val="020B0504020203020204"/>
    <w:charset w:val="00"/>
    <w:family w:val="swiss"/>
    <w:pitch w:val="variable"/>
    <w:sig w:usb0="A000006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Allianz Neo SemiBold">
    <w:altName w:val="Calibri"/>
    <w:charset w:val="00"/>
    <w:family w:val="swiss"/>
    <w:pitch w:val="variable"/>
    <w:sig w:usb0="A000006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97"/>
    <w:rsid w:val="000257A3"/>
    <w:rsid w:val="000F486B"/>
    <w:rsid w:val="001831D0"/>
    <w:rsid w:val="00220160"/>
    <w:rsid w:val="00234F6A"/>
    <w:rsid w:val="00263D7E"/>
    <w:rsid w:val="00303619"/>
    <w:rsid w:val="004F4540"/>
    <w:rsid w:val="00572E2E"/>
    <w:rsid w:val="005879DB"/>
    <w:rsid w:val="005915C2"/>
    <w:rsid w:val="005A1216"/>
    <w:rsid w:val="00693FCA"/>
    <w:rsid w:val="006B23B3"/>
    <w:rsid w:val="00736F46"/>
    <w:rsid w:val="0074603E"/>
    <w:rsid w:val="00754097"/>
    <w:rsid w:val="00780F6C"/>
    <w:rsid w:val="0081705A"/>
    <w:rsid w:val="008232C9"/>
    <w:rsid w:val="00843104"/>
    <w:rsid w:val="00884D5B"/>
    <w:rsid w:val="008A773A"/>
    <w:rsid w:val="00961532"/>
    <w:rsid w:val="009B0246"/>
    <w:rsid w:val="00A554DF"/>
    <w:rsid w:val="00AD63DD"/>
    <w:rsid w:val="00B7055A"/>
    <w:rsid w:val="00BE4096"/>
    <w:rsid w:val="00CA4C8D"/>
    <w:rsid w:val="00CA7D2B"/>
    <w:rsid w:val="00CB0887"/>
    <w:rsid w:val="00CD63CC"/>
    <w:rsid w:val="00D64E37"/>
    <w:rsid w:val="00E0644E"/>
    <w:rsid w:val="00E370F8"/>
    <w:rsid w:val="00E54338"/>
    <w:rsid w:val="00E61CB6"/>
    <w:rsid w:val="00EA48EC"/>
    <w:rsid w:val="00F6590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7C3E0BF40AB4F609A145EB81F54600E">
    <w:name w:val="E7C3E0BF40AB4F609A145EB81F546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lianz1">
  <a:themeElements>
    <a:clrScheme name="Custom 21">
      <a:dk1>
        <a:srgbClr val="FFFFFF"/>
      </a:dk1>
      <a:lt1>
        <a:srgbClr val="003781"/>
      </a:lt1>
      <a:dk2>
        <a:srgbClr val="CFCFCF"/>
      </a:dk2>
      <a:lt2>
        <a:srgbClr val="414141"/>
      </a:lt2>
      <a:accent1>
        <a:srgbClr val="122B54"/>
      </a:accent1>
      <a:accent2>
        <a:srgbClr val="006192"/>
      </a:accent2>
      <a:accent3>
        <a:srgbClr val="007AB3"/>
      </a:accent3>
      <a:accent4>
        <a:srgbClr val="13A0D3"/>
      </a:accent4>
      <a:accent5>
        <a:srgbClr val="B5DAE6"/>
      </a:accent5>
      <a:accent6>
        <a:srgbClr val="DFEFF2"/>
      </a:accent6>
      <a:hlink>
        <a:srgbClr val="003781"/>
      </a:hlink>
      <a:folHlink>
        <a:srgbClr val="B4B4B4"/>
      </a:folHlink>
    </a:clrScheme>
    <a:fontScheme name="Custom 3">
      <a:majorFont>
        <a:latin typeface="Allianz Neo"/>
        <a:ea typeface=""/>
        <a:cs typeface=""/>
      </a:majorFont>
      <a:minorFont>
        <a:latin typeface="Allianz Ne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122B54"/>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chor="t" anchorCtr="0">
        <a:noAutofit/>
      </a:bodyPr>
      <a:lstStyle>
        <a:defPPr algn="l">
          <a:defRPr sz="1600" smtClean="0">
            <a:solidFill>
              <a:schemeClr val="bg1"/>
            </a:solidFill>
          </a:defRPr>
        </a:defPPr>
      </a:lstStyle>
    </a:txDef>
  </a:objectDefaults>
  <a:extraClrSchemeLst>
    <a:extraClrScheme>
      <a:clrScheme name="AllianzBlue">
        <a:dk1>
          <a:srgbClr val="003781"/>
        </a:dk1>
        <a:lt1>
          <a:srgbClr val="FFFFFF"/>
        </a:lt1>
        <a:dk2>
          <a:srgbClr val="414141"/>
        </a:dk2>
        <a:lt2>
          <a:srgbClr val="CFCFCF"/>
        </a:lt2>
        <a:accent1>
          <a:srgbClr val="122B54"/>
        </a:accent1>
        <a:accent2>
          <a:srgbClr val="006192"/>
        </a:accent2>
        <a:accent3>
          <a:srgbClr val="007AB3"/>
        </a:accent3>
        <a:accent4>
          <a:srgbClr val="13A0D3"/>
        </a:accent4>
        <a:accent5>
          <a:srgbClr val="B5DAE6"/>
        </a:accent5>
        <a:accent6>
          <a:srgbClr val="DFEFF2"/>
        </a:accent6>
        <a:hlink>
          <a:srgbClr val="003781"/>
        </a:hlink>
        <a:folHlink>
          <a:srgbClr val="B4B4B4"/>
        </a:folHlink>
      </a:clrScheme>
    </a:extraClrScheme>
    <a:extraClrScheme>
      <a:clrScheme name="AllianzVibrant">
        <a:dk1>
          <a:srgbClr val="003781"/>
        </a:dk1>
        <a:lt1>
          <a:srgbClr val="FFFFFF"/>
        </a:lt1>
        <a:dk2>
          <a:srgbClr val="414141"/>
        </a:dk2>
        <a:lt2>
          <a:srgbClr val="CFCFCF"/>
        </a:lt2>
        <a:accent1>
          <a:srgbClr val="00908D"/>
        </a:accent1>
        <a:accent2>
          <a:srgbClr val="5FCD8A"/>
        </a:accent2>
        <a:accent3>
          <a:srgbClr val="A6276F"/>
        </a:accent3>
        <a:accent4>
          <a:srgbClr val="F62459"/>
        </a:accent4>
        <a:accent5>
          <a:srgbClr val="F86200"/>
        </a:accent5>
        <a:accent6>
          <a:srgbClr val="FAB600"/>
        </a:accent6>
        <a:hlink>
          <a:srgbClr val="003781"/>
        </a:hlink>
        <a:folHlink>
          <a:srgbClr val="B4B4B4"/>
        </a:folHlink>
      </a:clrScheme>
    </a:extraClrScheme>
  </a:extraClrSchemeLst>
  <a:custClrLst>
    <a:custClr name="rgb(18,43,84)">
      <a:srgbClr val="122B54"/>
    </a:custClr>
    <a:custClr name="rgb(0,97,146)">
      <a:srgbClr val="006192"/>
    </a:custClr>
    <a:custClr name="rgb(0,122,179)">
      <a:srgbClr val="007AB3"/>
    </a:custClr>
    <a:custClr name="rgb(19,160,211)">
      <a:srgbClr val="13A0D3"/>
    </a:custClr>
    <a:custClr name="rgb(181,218,230)">
      <a:srgbClr val="B5DAE6"/>
    </a:custClr>
    <a:custClr name="rgb(223,239,242)">
      <a:srgbClr val="DFEFF2"/>
    </a:custClr>
    <a:custClr name="rgb(0,144,141)">
      <a:srgbClr val="00908D"/>
    </a:custClr>
    <a:custClr name="rgb(95,205,138)">
      <a:srgbClr val="5FCD8A"/>
    </a:custClr>
    <a:custClr name="rgb(166,39,111)">
      <a:srgbClr val="A6276F"/>
    </a:custClr>
    <a:custClr name="rgb(246,36,89)">
      <a:srgbClr val="F62459"/>
    </a:custClr>
    <a:custClr name="rgb(248,98,0)">
      <a:srgbClr val="F86200"/>
    </a:custClr>
    <a:custClr name="rgb(250,182,0)">
      <a:srgbClr val="FAB600"/>
    </a:custClr>
  </a:custClrLst>
  <a:extLst>
    <a:ext uri="{05A4C25C-085E-4340-85A3-A5531E510DB2}">
      <thm15:themeFamily xmlns:thm15="http://schemas.microsoft.com/office/thememl/2012/main" name="Alianz" id="{E99355A1-29ED-4A53-A540-FC29DF417B25}" vid="{25B894C9-33C2-4AFA-9DAC-E9BCD7A69F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19 Octubre de 2026</PublishDate>
  <Abstract/>
  <CompanyAddress>Madrid</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304FBE35F569468B297629135C7396" ma:contentTypeVersion="48" ma:contentTypeDescription="Create a new document." ma:contentTypeScope="" ma:versionID="d3d7aa1ce60ca7f9d85bfb75e2edf0c7">
  <xsd:schema xmlns:xsd="http://www.w3.org/2001/XMLSchema" xmlns:xs="http://www.w3.org/2001/XMLSchema" xmlns:p="http://schemas.microsoft.com/office/2006/metadata/properties" xmlns:ns2="9ff07a45-11f5-479e-a441-cd98a86709fe" xmlns:ns3="5d5361cd-dd21-42bb-ace1-e1b72dd4ac82" targetNamespace="http://schemas.microsoft.com/office/2006/metadata/properties" ma:root="true" ma:fieldsID="f6eed1c37449dbbe9271dd54985351d7" ns2:_="" ns3:_="">
    <xsd:import namespace="9ff07a45-11f5-479e-a441-cd98a86709fe"/>
    <xsd:import namespace="5d5361cd-dd21-42bb-ace1-e1b72dd4ac82"/>
    <xsd:element name="properties">
      <xsd:complexType>
        <xsd:sequence>
          <xsd:element name="documentManagement">
            <xsd:complexType>
              <xsd:all>
                <xsd:element ref="ns2:DossierOwner" minOccurs="0"/>
                <xsd:element ref="ns2:DossierStatus" minOccurs="0"/>
                <xsd:element ref="ns2:MaterialContract" minOccurs="0"/>
                <xsd:element ref="ns2:ContractStatus" minOccurs="0"/>
                <xsd:element ref="ns2:OutsourcingAgreement" minOccurs="0"/>
                <xsd:element ref="ns2:ExternalContractingParties" minOccurs="0"/>
                <xsd:element ref="ns2:ContractDate" minOccurs="0"/>
                <xsd:element ref="ns2:PlaceOfOriginal" minOccurs="0"/>
                <xsd:element ref="ns2:ContractManagers" minOccurs="0"/>
                <xsd:element ref="ns2:nd762d5e82fb490792aa88eaddbb89ea" minOccurs="0"/>
                <xsd:element ref="ns2:TaxCatchAll" minOccurs="0"/>
                <xsd:element ref="ns2:TaxCatchAllLabel" minOccurs="0"/>
                <xsd:element ref="ns2:DocumentClass" minOccurs="0"/>
                <xsd:element ref="ns2:l6856d4619ce496882360609f9fc1dec" minOccurs="0"/>
                <xsd:element ref="ns2:_dlc_DocId" minOccurs="0"/>
                <xsd:element ref="ns2:ContractType" minOccurs="0"/>
                <xsd:element ref="ns2:_dlc_DocIdUrl" minOccurs="0"/>
                <xsd:element ref="ns2:_dlc_DocIdPersistId" minOccurs="0"/>
                <xsd:element ref="ns2:ContractExpiration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07a45-11f5-479e-a441-cd98a86709fe" elementFormDefault="qualified">
    <xsd:import namespace="http://schemas.microsoft.com/office/2006/documentManagement/types"/>
    <xsd:import namespace="http://schemas.microsoft.com/office/infopath/2007/PartnerControls"/>
    <xsd:element name="DossierOwner" ma:index="2" nillable="true" ma:displayName="Propietario(s) del expediente" ma:description="Persona(s) propietarias del expediente." ma:internalName="Dossier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Status" ma:index="3" nillable="true" ma:displayName="Estado del expediente" ma:default="" ma:description="Indica el estatus del dosier." ma:format="Dropdown" ma:internalName="DossierStatus" ma:readOnly="false">
      <xsd:simpleType>
        <xsd:restriction base="dms:Choice">
          <xsd:enumeration value="Abierto"/>
          <xsd:enumeration value="Cerrado"/>
        </xsd:restriction>
      </xsd:simpleType>
    </xsd:element>
    <xsd:element name="MaterialContract" ma:index="4" nillable="true" ma:displayName="Contrato con umbral materal" ma:description="Identificar si el contrato tiene umbral material." ma:format="Dropdown" ma:internalName="MaterialContract" ma:readOnly="false">
      <xsd:simpleType>
        <xsd:restriction base="dms:Boolean"/>
      </xsd:simpleType>
    </xsd:element>
    <xsd:element name="ContractStatus" ma:index="6" nillable="true" ma:displayName="Estado del contrato" ma:default="Sequía" ma:description="El estado del contrato." ma:format="Dropdown" ma:internalName="ContractStatus" ma:readOnly="false">
      <xsd:simpleType>
        <xsd:restriction base="dms:Choice">
          <xsd:enumeration value="Sequía"/>
          <xsd:enumeration value="Activo"/>
          <xsd:enumeration value="Terminado"/>
        </xsd:restriction>
      </xsd:simpleType>
    </xsd:element>
    <xsd:element name="OutsourcingAgreement" ma:index="7" nillable="true" ma:displayName="Acuerdo de subcontratacion" ma:description="Si un contrato es de subcontratacion en el sentido de la Politica de Subcontratacion del Grupo, el dosier necesita ser marcado como tal." ma:format="Dropdown" ma:internalName="OutsourcingAgreement" ma:readOnly="false">
      <xsd:simpleType>
        <xsd:restriction base="dms:Boolean"/>
      </xsd:simpleType>
    </xsd:element>
    <xsd:element name="ExternalContractingParties" ma:index="8" nillable="true" ma:displayName="Partes contratantes externas" ma:description="Nombre(s) de las partes contratantes externas." ma:internalName="ExternalContractingParties" ma:readOnly="false">
      <xsd:simpleType>
        <xsd:restriction base="dms:Text"/>
      </xsd:simpleType>
    </xsd:element>
    <xsd:element name="ContractDate" ma:index="9" nillable="true" ma:displayName="Fecha del contrato" ma:description="Fecha de celebración del contrato." ma:format="DateOnly" ma:internalName="ContractDate" ma:readOnly="false">
      <xsd:simpleType>
        <xsd:restriction base="dms:DateTime"/>
      </xsd:simpleType>
    </xsd:element>
    <xsd:element name="PlaceOfOriginal" ma:index="10" nillable="true" ma:displayName="Lugar de la copia original" ma:description="En caso que se mantenga una copia original en papel del contrato, indiquese el lugar donde se conserva aqui." ma:internalName="PlaceOfOriginal" ma:readOnly="false">
      <xsd:simpleType>
        <xsd:restriction base="dms:Text"/>
      </xsd:simpleType>
    </xsd:element>
    <xsd:element name="ContractManagers" ma:index="11" nillable="true" ma:displayName="Gestores del contrato" ma:description="Persona(s) que gestionan el contrato y conocen los detalles." ma:list="UserInfo" ma:internalName="ContractManag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d762d5e82fb490792aa88eaddbb89ea" ma:index="14" nillable="true" ma:taxonomy="true" ma:internalName="nd762d5e82fb490792aa88eaddbb89ea" ma:taxonomyFieldName="Document_Class" ma:displayName="Categoria del documento" ma:readOnly="false" ma:fieldId="{7d762d5e-82fb-4907-92aa-88eaddbb89ea}" ma:sspId="10820af1-e82f-496e-bbcb-d9502914b7b2" ma:termSetId="a8fe5516-3f25-4a18-9fe8-9ec61fcfebb7"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b2ba0cfd-a642-482e-bf59-faef85f1cda4}" ma:internalName="TaxCatchAll" ma:readOnly="false" ma:showField="CatchAllData" ma:web="9ff07a45-11f5-479e-a441-cd98a86709f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b2ba0cfd-a642-482e-bf59-faef85f1cda4}" ma:internalName="TaxCatchAllLabel" ma:readOnly="false" ma:showField="CatchAllDataLabel" ma:web="9ff07a45-11f5-479e-a441-cd98a86709fe">
      <xsd:complexType>
        <xsd:complexContent>
          <xsd:extension base="dms:MultiChoiceLookup">
            <xsd:sequence>
              <xsd:element name="Value" type="dms:Lookup" maxOccurs="unbounded" minOccurs="0" nillable="true"/>
            </xsd:sequence>
          </xsd:extension>
        </xsd:complexContent>
      </xsd:complexType>
    </xsd:element>
    <xsd:element name="DocumentClass" ma:index="18" nillable="true" ma:displayName="Categoria del documento" ma:default="Empieza por número" ma:description="Atributo para clasificar el Documento de acuerdo con la programacion de retencion del documento." ma:format="Dropdown" ma:hidden="true" ma:internalName="DocumentClass" ma:readOnly="false">
      <xsd:simpleType>
        <xsd:restriction base="dms:Text">
          <xsd:maxLength value="255"/>
        </xsd:restriction>
      </xsd:simpleType>
    </xsd:element>
    <xsd:element name="l6856d4619ce496882360609f9fc1dec" ma:index="20" nillable="true" ma:taxonomy="true" ma:internalName="l6856d4619ce496882360609f9fc1dec" ma:taxonomyFieldName="Contract_Type" ma:displayName="Tipo de contrato" ma:readOnly="false" ma:fieldId="{56856d46-19ce-4968-8236-0609f9fc1dec}" ma:sspId="10820af1-e82f-496e-bbcb-d9502914b7b2" ma:termSetId="70805c8f-f58a-429f-b5cb-62c5b6dc5528"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hidden="true" ma:indexed="true" ma:internalName="_dlc_DocId" ma:readOnly="false">
      <xsd:simpleType>
        <xsd:restriction base="dms:Text"/>
      </xsd:simpleType>
    </xsd:element>
    <xsd:element name="ContractType" ma:index="25" nillable="true" ma:displayName="Tipo de contrato" ma:description="Atributo para clasificar el contrato. Seleccione un valor entre tipos de contrato estándar o tipos de contrato especiales." ma:format="Dropdown" ma:hidden="true" ma:internalName="ContractType" ma:readOnly="false">
      <xsd:simpleType>
        <xsd:restriction base="dms:Choice">
          <xsd:enumeration value="Tipos de contratos estándar (Seleccione de abajp):"/>
          <xsd:enumeration value="-----------------------"/>
          <xsd:enumeration value="Acuerdo de servicio, Acuerdo de nivel de servicio"/>
          <xsd:enumeration value="Acuerdo de compra (compras y ventas)"/>
          <xsd:enumeration value="Acuerdo de prestamo"/>
          <xsd:enumeration value="Acuerdo de confidencialidad"/>
          <xsd:enumeration value="Acuerdo de cooperación"/>
          <xsd:enumeration value="Carta de Intención, Memorando de Entendimiento"/>
          <xsd:enumeration value="Contrato de seguro"/>
          <xsd:enumeration value="Garantía, Carta de Confort, Carta de Crédito"/>
          <xsd:enumeration value="Otro"/>
          <xsd:enumeration value="-----------------------"/>
          <xsd:enumeration value="Tipos de contratos especiales (Seleccione de abajp):"/>
          <xsd:enumeration value="-----------------------"/>
          <xsd:enumeration value="Acuerdo de empleo"/>
          <xsd:enumeration value="Contrato de alquiler o arrendamiento"/>
          <xsd:enumeration value="Acuerdo de licencia"/>
          <xsd:enumeration value="Acuerdo de privacidad"/>
          <xsd:enumeration value="Acuerdo de agencia (agente vinculado)"/>
          <xsd:enumeration value="Acuerdo de corretaje (corredor)"/>
          <xsd:enumeration value="Acuerdo de distribución"/>
          <xsd:enumeration value="Empleador - Comité de empresa / Acuerdo sindical"/>
          <xsd:enumeration value="Acuerdo de inversión o financiamiento"/>
          <xsd:enumeration value="Contrato de resaseguro"/>
          <xsd:enumeration value="Acuerdo de accionistas"/>
          <xsd:enumeration value="Contrato de control o transferencia de beneficios"/>
          <xsd:enumeration value="Acuerdo de empresa conjunta"/>
          <xsd:enumeration value="Acuerdo de confianza"/>
          <xsd:enumeration value="Acuerdo de compraventa / fusión de acciones o empresas"/>
          <xsd:enumeration value="Contrato con un miembro del Consejo de Administración o del Consejo de Supervisión"/>
        </xsd:restriction>
      </xsd:simpleType>
    </xsd:element>
    <xsd:element name="_dlc_DocIdUrl" ma:index="26"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ContractExpirationDate" ma:index="28" nillable="true" ma:displayName="Fecha de expiración" ma:description="Fecha cuando expira/ finaliza el contrato." ma:format="DateOnly" ma:hidden="true" ma:internalName="Contrac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5361cd-dd21-42bb-ace1-e1b72dd4ac82" elementFormDefault="qualified">
    <xsd:import namespace="http://schemas.microsoft.com/office/2006/documentManagement/types"/>
    <xsd:import namespace="http://schemas.microsoft.com/office/infopath/2007/PartnerControls"/>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laceOfOriginal xmlns="9ff07a45-11f5-479e-a441-cd98a86709fe" xsi:nil="true"/>
    <_dlc_DocIdPersistId xmlns="9ff07a45-11f5-479e-a441-cd98a86709fe" xsi:nil="true"/>
    <DossierStatus xmlns="9ff07a45-11f5-479e-a441-cd98a86709fe" xsi:nil="true"/>
    <ContractManagers xmlns="9ff07a45-11f5-479e-a441-cd98a86709fe">
      <UserInfo>
        <DisplayName/>
        <AccountId xsi:nil="true"/>
        <AccountType/>
      </UserInfo>
    </ContractManagers>
    <OutsourcingAgreement xmlns="9ff07a45-11f5-479e-a441-cd98a86709fe" xsi:nil="true"/>
    <ContractDate xmlns="9ff07a45-11f5-479e-a441-cd98a86709fe" xsi:nil="true"/>
    <MaterialContract xmlns="9ff07a45-11f5-479e-a441-cd98a86709fe" xsi:nil="true"/>
    <ExternalContractingParties xmlns="9ff07a45-11f5-479e-a441-cd98a86709fe" xsi:nil="true"/>
    <ContractType xmlns="9ff07a45-11f5-479e-a441-cd98a86709fe" xsi:nil="true"/>
    <ContractExpirationDate xmlns="9ff07a45-11f5-479e-a441-cd98a86709fe" xsi:nil="true"/>
    <DossierOwner xmlns="9ff07a45-11f5-479e-a441-cd98a86709fe">
      <UserInfo>
        <DisplayName/>
        <AccountId xsi:nil="true"/>
        <AccountType/>
      </UserInfo>
    </DossierOwner>
    <nd762d5e82fb490792aa88eaddbb89ea xmlns="9ff07a45-11f5-479e-a441-cd98a86709fe">
      <Terms xmlns="http://schemas.microsoft.com/office/infopath/2007/PartnerControls"/>
    </nd762d5e82fb490792aa88eaddbb89ea>
    <DocumentClass xmlns="9ff07a45-11f5-479e-a441-cd98a86709fe">Empieza por número</DocumentClass>
    <ContractStatus xmlns="9ff07a45-11f5-479e-a441-cd98a86709fe">Sequía</ContractStatus>
    <_dlc_DocId xmlns="9ff07a45-11f5-479e-a441-cd98a86709fe">XU7P7SY2DP3Q-491014520-214419</_dlc_DocId>
    <l6856d4619ce496882360609f9fc1dec xmlns="9ff07a45-11f5-479e-a441-cd98a86709fe">
      <Terms xmlns="http://schemas.microsoft.com/office/infopath/2007/PartnerControls"/>
    </l6856d4619ce496882360609f9fc1dec>
    <TaxCatchAll xmlns="9ff07a45-11f5-479e-a441-cd98a86709fe" xsi:nil="true"/>
    <TaxCatchAllLabel xmlns="9ff07a45-11f5-479e-a441-cd98a86709fe" xsi:nil="true"/>
    <_dlc_DocIdUrl xmlns="9ff07a45-11f5-479e-a441-cd98a86709fe">
      <Url>https://allianzms.sharepoint.com/teams/ES0006-3163019/_layouts/15/DocIdRedir.aspx?ID=XU7P7SY2DP3Q-491014520-214419</Url>
      <Description>XU7P7SY2DP3Q-491014520-214419</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ECBF5E-49A3-407D-9B17-81FA4C907EB5}">
  <ds:schemaRefs>
    <ds:schemaRef ds:uri="http://schemas.microsoft.com/sharepoint/events"/>
  </ds:schemaRefs>
</ds:datastoreItem>
</file>

<file path=customXml/itemProps3.xml><?xml version="1.0" encoding="utf-8"?>
<ds:datastoreItem xmlns:ds="http://schemas.openxmlformats.org/officeDocument/2006/customXml" ds:itemID="{0FF3AAAC-C920-4698-AAD2-60D96C258D7B}">
  <ds:schemaRefs>
    <ds:schemaRef ds:uri="http://schemas.microsoft.com/sharepoint/v3/contenttype/forms"/>
  </ds:schemaRefs>
</ds:datastoreItem>
</file>

<file path=customXml/itemProps4.xml><?xml version="1.0" encoding="utf-8"?>
<ds:datastoreItem xmlns:ds="http://schemas.openxmlformats.org/officeDocument/2006/customXml" ds:itemID="{FCB51B26-3E4F-4572-8FF3-CB6470FF7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07a45-11f5-479e-a441-cd98a86709fe"/>
    <ds:schemaRef ds:uri="5d5361cd-dd21-42bb-ace1-e1b72dd4ac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F5FDF4-C1E7-4FC2-9A1F-D6F30CAC875D}">
  <ds:schemaRefs>
    <ds:schemaRef ds:uri="http://schemas.microsoft.com/office/2006/metadata/properties"/>
    <ds:schemaRef ds:uri="http://schemas.microsoft.com/office/infopath/2007/PartnerControls"/>
    <ds:schemaRef ds:uri="9ff07a45-11f5-479e-a441-cd98a86709fe"/>
  </ds:schemaRefs>
</ds:datastoreItem>
</file>

<file path=customXml/itemProps6.xml><?xml version="1.0" encoding="utf-8"?>
<ds:datastoreItem xmlns:ds="http://schemas.openxmlformats.org/officeDocument/2006/customXml" ds:itemID="{D3DD263F-582A-470B-ADAE-FEE3557E3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AZ_Press_Release_Standard.dotx</Template>
  <TotalTime>0</TotalTime>
  <Pages>3</Pages>
  <Words>822</Words>
  <Characters>4690</Characters>
  <Application>Microsoft Office Word</Application>
  <DocSecurity>0</DocSecurity>
  <Lines>39</Lines>
  <Paragraphs>11</Paragraphs>
  <ScaleCrop>false</ScaleCrop>
  <Company>Allianz Trade</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dc:title>
  <dc:subject/>
  <dc:creator>E107708</dc:creator>
  <cp:keywords/>
  <dc:description/>
  <cp:lastModifiedBy>Rodriguez Mosquera, Sonia (Allianz Compania de Seguros y Reaseguros S.A.)</cp:lastModifiedBy>
  <cp:revision>2</cp:revision>
  <cp:lastPrinted>2022-08-24T21:00:00Z</cp:lastPrinted>
  <dcterms:created xsi:type="dcterms:W3CDTF">2026-10-15T14:17:00Z</dcterms:created>
  <dcterms:modified xsi:type="dcterms:W3CDTF">2026-10-15T14:17:00Z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6a7ab862,47b4e203,331d626c</vt:lpwstr>
  </property>
  <property fmtid="{D5CDD505-2E9C-101B-9397-08002B2CF9AE}" pid="3" name="ClassificationContentMarkingHeaderFontProps">
    <vt:lpwstr>#000000,10,Calibri</vt:lpwstr>
  </property>
  <property fmtid="{D5CDD505-2E9C-101B-9397-08002B2CF9AE}" pid="4" name="ClassificationContentMarkingHeaderText">
    <vt:lpwstr>Internal</vt:lpwstr>
  </property>
  <property fmtid="{D5CDD505-2E9C-101B-9397-08002B2CF9AE}" pid="5" name="MSIP_Label_863bc15e-e7bf-41c1-bdb3-03882d8a2e2c_Enabled">
    <vt:lpwstr>true</vt:lpwstr>
  </property>
  <property fmtid="{D5CDD505-2E9C-101B-9397-08002B2CF9AE}" pid="6" name="MSIP_Label_863bc15e-e7bf-41c1-bdb3-03882d8a2e2c_SetDate">
    <vt:lpwstr>2026-05-13T13:02:18Z</vt:lpwstr>
  </property>
  <property fmtid="{D5CDD505-2E9C-101B-9397-08002B2CF9AE}" pid="7" name="MSIP_Label_863bc15e-e7bf-41c1-bdb3-03882d8a2e2c_Method">
    <vt:lpwstr>Privileged</vt:lpwstr>
  </property>
  <property fmtid="{D5CDD505-2E9C-101B-9397-08002B2CF9AE}" pid="8" name="MSIP_Label_863bc15e-e7bf-41c1-bdb3-03882d8a2e2c_Name">
    <vt:lpwstr>863bc15e-e7bf-41c1-bdb3-03882d8a2e2c</vt:lpwstr>
  </property>
  <property fmtid="{D5CDD505-2E9C-101B-9397-08002B2CF9AE}" pid="9" name="MSIP_Label_863bc15e-e7bf-41c1-bdb3-03882d8a2e2c_SiteId">
    <vt:lpwstr>6e06e42d-6925-47c6-b9e7-9581c7ca302a</vt:lpwstr>
  </property>
  <property fmtid="{D5CDD505-2E9C-101B-9397-08002B2CF9AE}" pid="10" name="MSIP_Label_863bc15e-e7bf-41c1-bdb3-03882d8a2e2c_ActionId">
    <vt:lpwstr>f14037b9-c380-4d29-affe-fc8147156a38</vt:lpwstr>
  </property>
  <property fmtid="{D5CDD505-2E9C-101B-9397-08002B2CF9AE}" pid="11" name="MSIP_Label_863bc15e-e7bf-41c1-bdb3-03882d8a2e2c_ContentBits">
    <vt:lpwstr>1</vt:lpwstr>
  </property>
  <property fmtid="{D5CDD505-2E9C-101B-9397-08002B2CF9AE}" pid="12" name="MSIP_Label_863bc15e-e7bf-41c1-bdb3-03882d8a2e2c_Tag">
    <vt:lpwstr>10, 0, 1, 1</vt:lpwstr>
  </property>
  <property fmtid="{D5CDD505-2E9C-101B-9397-08002B2CF9AE}" pid="13" name="ContentTypeId">
    <vt:lpwstr>0x010100CB304FBE35F569468B297629135C7396</vt:lpwstr>
  </property>
  <property fmtid="{D5CDD505-2E9C-101B-9397-08002B2CF9AE}" pid="14" name="_dlc_DocIdItemGuid">
    <vt:lpwstr>6ac2308c-edd3-44af-abd0-c0ce8aa2ba45</vt:lpwstr>
  </property>
  <property fmtid="{D5CDD505-2E9C-101B-9397-08002B2CF9AE}" pid="15" name="DossierDepartment">
    <vt:lpwstr/>
  </property>
  <property fmtid="{D5CDD505-2E9C-101B-9397-08002B2CF9AE}" pid="16" name="AllianzContractingParties">
    <vt:lpwstr/>
  </property>
  <property fmtid="{D5CDD505-2E9C-101B-9397-08002B2CF9AE}" pid="17" name="MediaServiceImageTags">
    <vt:lpwstr/>
  </property>
  <property fmtid="{D5CDD505-2E9C-101B-9397-08002B2CF9AE}" pid="18" name="Contract_Type">
    <vt:lpwstr/>
  </property>
  <property fmtid="{D5CDD505-2E9C-101B-9397-08002B2CF9AE}" pid="19" name="b0fe84444e894ab98172082a3d0e58f8">
    <vt:lpwstr/>
  </property>
  <property fmtid="{D5CDD505-2E9C-101B-9397-08002B2CF9AE}" pid="20" name="Document_Class">
    <vt:lpwstr/>
  </property>
  <property fmtid="{D5CDD505-2E9C-101B-9397-08002B2CF9AE}" pid="21" name="iccd162ff52447b49ab8f5fd8f2cec1e">
    <vt:lpwstr/>
  </property>
  <property fmtid="{D5CDD505-2E9C-101B-9397-08002B2CF9AE}" pid="22" name="lcf76f155ced4ddcb4097134ff3c332f">
    <vt:lpwstr/>
  </property>
  <property fmtid="{D5CDD505-2E9C-101B-9397-08002B2CF9AE}" pid="23" name="_AdHocReviewCycleID">
    <vt:i4>702128274</vt:i4>
  </property>
  <property fmtid="{D5CDD505-2E9C-101B-9397-08002B2CF9AE}" pid="24" name="_NewReviewCycle">
    <vt:lpwstr/>
  </property>
  <property fmtid="{D5CDD505-2E9C-101B-9397-08002B2CF9AE}" pid="25" name="_EmailSubject">
    <vt:lpwstr>Nota de prensa - Financial Literacy</vt:lpwstr>
  </property>
  <property fmtid="{D5CDD505-2E9C-101B-9397-08002B2CF9AE}" pid="26" name="_AuthorEmail">
    <vt:lpwstr>josephine.whalen@allianz.es</vt:lpwstr>
  </property>
  <property fmtid="{D5CDD505-2E9C-101B-9397-08002B2CF9AE}" pid="27" name="_AuthorEmailDisplayName">
    <vt:lpwstr>Whalen, Josephine Jane (Allianz Compania de Seguros y Reaseguros S.A.)</vt:lpwstr>
  </property>
  <property fmtid="{D5CDD505-2E9C-101B-9397-08002B2CF9AE}" pid="28" name="_ReviewingToolsShownOnce">
    <vt:lpwstr/>
  </property>
  <property fmtid="{D5CDD505-2E9C-101B-9397-08002B2CF9AE}" pid="29" name="PlaceOfOriginal">
    <vt:lpwstr/>
  </property>
  <property fmtid="{D5CDD505-2E9C-101B-9397-08002B2CF9AE}" pid="30" name="_dlc_DocIdPersistId">
    <vt:lpwstr/>
  </property>
  <property fmtid="{D5CDD505-2E9C-101B-9397-08002B2CF9AE}" pid="31" name="DossierStatus">
    <vt:lpwstr/>
  </property>
  <property fmtid="{D5CDD505-2E9C-101B-9397-08002B2CF9AE}" pid="32" name="ContractManagers">
    <vt:lpwstr/>
  </property>
  <property fmtid="{D5CDD505-2E9C-101B-9397-08002B2CF9AE}" pid="33" name="OutsourcingAgreement">
    <vt:lpwstr/>
  </property>
  <property fmtid="{D5CDD505-2E9C-101B-9397-08002B2CF9AE}" pid="34" name="ContractDate">
    <vt:lpwstr/>
  </property>
  <property fmtid="{D5CDD505-2E9C-101B-9397-08002B2CF9AE}" pid="35" name="MaterialContract">
    <vt:lpwstr/>
  </property>
  <property fmtid="{D5CDD505-2E9C-101B-9397-08002B2CF9AE}" pid="36" name="ExternalContractingParties">
    <vt:lpwstr/>
  </property>
  <property fmtid="{D5CDD505-2E9C-101B-9397-08002B2CF9AE}" pid="37" name="ContractType">
    <vt:lpwstr/>
  </property>
  <property fmtid="{D5CDD505-2E9C-101B-9397-08002B2CF9AE}" pid="38" name="ContractExpirationDate">
    <vt:lpwstr/>
  </property>
  <property fmtid="{D5CDD505-2E9C-101B-9397-08002B2CF9AE}" pid="39" name="DossierOwner">
    <vt:lpwstr/>
  </property>
  <property fmtid="{D5CDD505-2E9C-101B-9397-08002B2CF9AE}" pid="40" name="nd762d5e82fb490792aa88eaddbb89ea">
    <vt:lpwstr/>
  </property>
  <property fmtid="{D5CDD505-2E9C-101B-9397-08002B2CF9AE}" pid="41" name="DocumentClass">
    <vt:lpwstr>Empieza por número</vt:lpwstr>
  </property>
  <property fmtid="{D5CDD505-2E9C-101B-9397-08002B2CF9AE}" pid="42" name="ContractStatus">
    <vt:lpwstr>Sequía</vt:lpwstr>
  </property>
  <property fmtid="{D5CDD505-2E9C-101B-9397-08002B2CF9AE}" pid="43" name="_dlc_DocId">
    <vt:lpwstr>XU7P7SY2DP3Q-491014520-212039</vt:lpwstr>
  </property>
  <property fmtid="{D5CDD505-2E9C-101B-9397-08002B2CF9AE}" pid="44" name="l6856d4619ce496882360609f9fc1dec">
    <vt:lpwstr/>
  </property>
  <property fmtid="{D5CDD505-2E9C-101B-9397-08002B2CF9AE}" pid="45" name="TaxCatchAll">
    <vt:lpwstr/>
  </property>
  <property fmtid="{D5CDD505-2E9C-101B-9397-08002B2CF9AE}" pid="46" name="TaxCatchAllLabel">
    <vt:lpwstr/>
  </property>
  <property fmtid="{D5CDD505-2E9C-101B-9397-08002B2CF9AE}" pid="47" name="_dlc_DocIdUrl">
    <vt:lpwstr>https://allianzms.sharepoint.com/teams/ES0006-3163019/_layouts/15/DocIdRedir.aspx?ID=XU7P7SY2DP3Q-491014520-212039, XU7P7SY2DP3Q-491014520-212039</vt:lpwstr>
  </property>
  <property fmtid="{D5CDD505-2E9C-101B-9397-08002B2CF9AE}" pid="48" name="docLang">
    <vt:lpwstr>es</vt:lpwstr>
  </property>
</Properties>
</file>