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20219" w14:textId="0FD14365" w:rsidR="004F265C" w:rsidRDefault="001E1597">
      <w:pPr>
        <w:pStyle w:val="berschrift1PM"/>
        <w:rPr>
          <w:lang w:val="es-ES"/>
        </w:rPr>
      </w:pPr>
      <w:r w:rsidRPr="001E1597">
        <w:t>Los hogares perderán una décima parte de su riqueza en 2022, según el Allianz Global Wealth Report</w:t>
      </w:r>
      <w:r w:rsidRPr="001E1597" w:rsidDel="001E1597">
        <w:rPr>
          <w:lang w:val="es-ES"/>
        </w:rPr>
        <w:t xml:space="preserve"> </w:t>
      </w:r>
    </w:p>
    <w:p w14:paraId="30BDE918" w14:textId="6D4EE3A1" w:rsidR="00D051A0" w:rsidRPr="007C16FE" w:rsidRDefault="00D051A0" w:rsidP="00F36297">
      <w:pPr>
        <w:pStyle w:val="berschrift2PM"/>
        <w:pBdr>
          <w:top w:val="none" w:sz="0" w:space="0" w:color="auto"/>
          <w:left w:val="none" w:sz="0" w:space="0" w:color="auto"/>
          <w:bottom w:val="none" w:sz="0" w:space="0" w:color="auto"/>
          <w:right w:val="none" w:sz="0" w:space="0" w:color="auto"/>
          <w:between w:val="none" w:sz="0" w:space="0" w:color="auto"/>
          <w:bar w:val="none" w:sz="0" w:color="auto"/>
        </w:pBdr>
        <w:spacing w:after="135"/>
        <w:rPr>
          <w:lang w:val="es-ES"/>
        </w:rPr>
      </w:pPr>
    </w:p>
    <w:p w14:paraId="4700845E" w14:textId="4E0B2DD9" w:rsidR="00A00A94" w:rsidRPr="00A00A94" w:rsidRDefault="00A92758" w:rsidP="00A00A94">
      <w:pPr>
        <w:pStyle w:val="berschrift2PM"/>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35"/>
        <w:rPr>
          <w:lang w:val="es-ES"/>
        </w:rPr>
      </w:pPr>
      <w:r w:rsidRPr="00A00A94">
        <w:rPr>
          <w:lang w:val="es-ES"/>
        </w:rPr>
        <w:t xml:space="preserve">El Allianz Global Wealth </w:t>
      </w:r>
      <w:r w:rsidR="009E182A">
        <w:rPr>
          <w:lang w:val="es-ES"/>
        </w:rPr>
        <w:t>R</w:t>
      </w:r>
      <w:bookmarkStart w:id="0" w:name="_GoBack"/>
      <w:bookmarkEnd w:id="0"/>
      <w:r w:rsidRPr="00A00A94">
        <w:rPr>
          <w:lang w:val="es-ES"/>
        </w:rPr>
        <w:t xml:space="preserve">eport estima </w:t>
      </w:r>
      <w:r w:rsidR="00A00A94" w:rsidRPr="00A00A94">
        <w:rPr>
          <w:lang w:val="es-ES"/>
        </w:rPr>
        <w:t>que los activos financieros mundiales disminuirán más del 2% en 2022</w:t>
      </w:r>
    </w:p>
    <w:p w14:paraId="4B5BC1D5" w14:textId="2A13F69A" w:rsidR="00252153" w:rsidRPr="007C16FE" w:rsidRDefault="0095622C" w:rsidP="001E1597">
      <w:pPr>
        <w:pStyle w:val="berschrift2PM"/>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35"/>
        <w:rPr>
          <w:lang w:val="es-ES"/>
        </w:rPr>
      </w:pPr>
      <w:r>
        <w:rPr>
          <w:lang w:val="es-ES"/>
        </w:rPr>
        <w:t>En 2021, l</w:t>
      </w:r>
      <w:r w:rsidR="00252153">
        <w:rPr>
          <w:lang w:val="es-ES"/>
        </w:rPr>
        <w:t xml:space="preserve">os activos financieros globales crecieron a doble dígito por tercer año consecutivo </w:t>
      </w:r>
    </w:p>
    <w:p w14:paraId="78C27BC0" w14:textId="535219AD" w:rsidR="003F2F9C" w:rsidRPr="007C16FE" w:rsidRDefault="003F2F9C" w:rsidP="001E1597">
      <w:pPr>
        <w:pStyle w:val="berschrift2PM"/>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35"/>
        <w:rPr>
          <w:lang w:val="es-ES"/>
        </w:rPr>
      </w:pPr>
      <w:r w:rsidRPr="007C16FE">
        <w:rPr>
          <w:lang w:val="es-ES"/>
        </w:rPr>
        <w:t xml:space="preserve">España registró un fuerte crecimiento en activos financieros </w:t>
      </w:r>
      <w:r w:rsidR="00C47CF0">
        <w:rPr>
          <w:lang w:val="es-ES"/>
        </w:rPr>
        <w:t xml:space="preserve">en 2021, </w:t>
      </w:r>
      <w:r w:rsidRPr="007C16FE">
        <w:rPr>
          <w:lang w:val="es-ES"/>
        </w:rPr>
        <w:t>gracias a la pujanza de los mercados bursátiles y un gran esfuerzo de ahorro</w:t>
      </w:r>
    </w:p>
    <w:p w14:paraId="38275412" w14:textId="77F57B7F" w:rsidR="00F36297" w:rsidRPr="007C16FE" w:rsidRDefault="00F36297" w:rsidP="00F36297">
      <w:pPr>
        <w:pStyle w:val="berschrift2PM"/>
        <w:pBdr>
          <w:top w:val="none" w:sz="0" w:space="0" w:color="auto"/>
          <w:left w:val="none" w:sz="0" w:space="0" w:color="auto"/>
          <w:bottom w:val="none" w:sz="0" w:space="0" w:color="auto"/>
          <w:right w:val="none" w:sz="0" w:space="0" w:color="auto"/>
          <w:between w:val="none" w:sz="0" w:space="0" w:color="auto"/>
          <w:bar w:val="none" w:sz="0" w:color="auto"/>
        </w:pBdr>
        <w:spacing w:after="135"/>
        <w:rPr>
          <w:lang w:val="es-ES"/>
        </w:rPr>
      </w:pPr>
    </w:p>
    <w:p w14:paraId="02D4BDB9" w14:textId="77777777" w:rsidR="005D6C48" w:rsidRPr="007C16FE" w:rsidRDefault="005D6C48" w:rsidP="005D6C48">
      <w:pPr>
        <w:jc w:val="both"/>
        <w:rPr>
          <w:rFonts w:cs="Arial"/>
          <w:lang w:val="es-ES"/>
        </w:rPr>
      </w:pPr>
    </w:p>
    <w:p w14:paraId="0F746865" w14:textId="7A33F72E" w:rsidR="005D6C48" w:rsidRPr="007C16FE" w:rsidRDefault="005D6C48" w:rsidP="005D6C48">
      <w:pPr>
        <w:jc w:val="both"/>
        <w:rPr>
          <w:rFonts w:cs="Arial"/>
          <w:lang w:val="es-ES"/>
        </w:rPr>
      </w:pPr>
      <w:r w:rsidRPr="007C16FE">
        <w:rPr>
          <w:rFonts w:cs="Arial"/>
          <w:lang w:val="es-ES"/>
        </w:rPr>
        <w:t>La 13ª edición del “</w:t>
      </w:r>
      <w:r w:rsidR="00F36297" w:rsidRPr="007C16FE">
        <w:rPr>
          <w:rFonts w:cs="Arial"/>
          <w:lang w:val="es-ES"/>
        </w:rPr>
        <w:t>Allianz Global Wealth Report</w:t>
      </w:r>
      <w:r w:rsidRPr="007C16FE">
        <w:rPr>
          <w:rFonts w:cs="Arial"/>
          <w:lang w:val="es-ES"/>
        </w:rPr>
        <w:t xml:space="preserve">” de Allianz muestra el año 2021 como el último de la antigua "nueva normalidad", con mercados bursátiles alcistas impulsados ​​por la política monetaria. Los hogares se beneficiaron </w:t>
      </w:r>
      <w:r w:rsidR="004E513A">
        <w:rPr>
          <w:rFonts w:cs="Arial"/>
          <w:lang w:val="es-ES"/>
        </w:rPr>
        <w:t xml:space="preserve">de ello </w:t>
      </w:r>
      <w:r w:rsidRPr="007C16FE">
        <w:rPr>
          <w:rFonts w:cs="Arial"/>
          <w:lang w:val="es-ES"/>
        </w:rPr>
        <w:t xml:space="preserve">por tercer año </w:t>
      </w:r>
      <w:r w:rsidR="00D051A0" w:rsidRPr="007C16FE">
        <w:rPr>
          <w:rFonts w:cs="Arial"/>
          <w:lang w:val="es-ES"/>
        </w:rPr>
        <w:t>consecutiv</w:t>
      </w:r>
      <w:r w:rsidR="00871006" w:rsidRPr="007C16FE">
        <w:rPr>
          <w:rFonts w:cs="Arial"/>
          <w:lang w:val="es-ES"/>
        </w:rPr>
        <w:t>o</w:t>
      </w:r>
      <w:r w:rsidR="00D051A0" w:rsidRPr="007C16FE">
        <w:rPr>
          <w:rFonts w:cs="Arial"/>
          <w:lang w:val="es-ES"/>
        </w:rPr>
        <w:t xml:space="preserve"> y</w:t>
      </w:r>
      <w:r w:rsidRPr="007C16FE">
        <w:rPr>
          <w:rFonts w:cs="Arial"/>
          <w:lang w:val="es-ES"/>
        </w:rPr>
        <w:t xml:space="preserve"> los activos financieros globales crecieron do</w:t>
      </w:r>
      <w:r w:rsidR="00D051A0" w:rsidRPr="007C16FE">
        <w:rPr>
          <w:rFonts w:cs="Arial"/>
          <w:lang w:val="es-ES"/>
        </w:rPr>
        <w:t>s dígitos</w:t>
      </w:r>
      <w:r w:rsidRPr="007C16FE">
        <w:rPr>
          <w:rFonts w:cs="Arial"/>
          <w:lang w:val="es-ES"/>
        </w:rPr>
        <w:t>, alcanzando los 233 billones de EUR (+10,4 %). En estos últimos tres años, la riqueza privada aumentó en 60 billones de euros, lo equivale a agregar dos eurourozonas a</w:t>
      </w:r>
      <w:r w:rsidR="00871006" w:rsidRPr="007C16FE">
        <w:rPr>
          <w:rFonts w:cs="Arial"/>
          <w:lang w:val="es-ES"/>
        </w:rPr>
        <w:t xml:space="preserve"> la cesta</w:t>
      </w:r>
      <w:r w:rsidRPr="007C16FE">
        <w:rPr>
          <w:rFonts w:cs="Arial"/>
          <w:lang w:val="es-ES"/>
        </w:rPr>
        <w:t xml:space="preserve"> financier</w:t>
      </w:r>
      <w:r w:rsidR="00871006" w:rsidRPr="007C16FE">
        <w:rPr>
          <w:rFonts w:cs="Arial"/>
          <w:lang w:val="es-ES"/>
        </w:rPr>
        <w:t>a</w:t>
      </w:r>
      <w:r w:rsidRPr="007C16FE">
        <w:rPr>
          <w:rFonts w:cs="Arial"/>
          <w:lang w:val="es-ES"/>
        </w:rPr>
        <w:t xml:space="preserve"> mundial.</w:t>
      </w:r>
    </w:p>
    <w:p w14:paraId="71C2774C" w14:textId="39C61E17" w:rsidR="00E60489" w:rsidRDefault="00E60489" w:rsidP="00526198">
      <w:pPr>
        <w:jc w:val="both"/>
        <w:rPr>
          <w:rFonts w:cs="Arial"/>
          <w:b/>
          <w:bCs/>
          <w:lang w:val="es-MX"/>
        </w:rPr>
      </w:pPr>
    </w:p>
    <w:p w14:paraId="2053E57A" w14:textId="6B71C93C" w:rsidR="005D6C48" w:rsidRPr="007C16FE" w:rsidRDefault="005D6C48" w:rsidP="005D6C48">
      <w:pPr>
        <w:jc w:val="both"/>
        <w:rPr>
          <w:rFonts w:cs="Arial"/>
          <w:lang w:val="es-ES"/>
        </w:rPr>
      </w:pPr>
      <w:r w:rsidRPr="007C16FE">
        <w:rPr>
          <w:rFonts w:cs="Arial"/>
          <w:lang w:val="es-ES"/>
        </w:rPr>
        <w:t>El principal motor de crecimiento fue el auge del mercado de valores, que contribuyó con alrededor de dos tercios al crecimiento de la riqueza en 2021</w:t>
      </w:r>
      <w:r w:rsidR="00D051A0" w:rsidRPr="007C16FE">
        <w:rPr>
          <w:rFonts w:cs="Arial"/>
          <w:lang w:val="es-ES"/>
        </w:rPr>
        <w:t>,</w:t>
      </w:r>
      <w:r w:rsidRPr="007C16FE">
        <w:rPr>
          <w:rFonts w:cs="Arial"/>
          <w:lang w:val="es-ES"/>
        </w:rPr>
        <w:t xml:space="preserve"> aunque </w:t>
      </w:r>
      <w:r w:rsidR="008170D1">
        <w:rPr>
          <w:rFonts w:cs="Arial"/>
          <w:lang w:val="es-ES"/>
        </w:rPr>
        <w:t>el nuevo ahorro</w:t>
      </w:r>
      <w:r w:rsidRPr="007C16FE">
        <w:rPr>
          <w:rFonts w:cs="Arial"/>
          <w:lang w:val="es-ES"/>
        </w:rPr>
        <w:t xml:space="preserve"> también se </w:t>
      </w:r>
      <w:r w:rsidR="008D311D">
        <w:rPr>
          <w:rFonts w:cs="Arial"/>
          <w:lang w:val="es-ES"/>
        </w:rPr>
        <w:t>mantuvó</w:t>
      </w:r>
      <w:r w:rsidR="008D311D" w:rsidRPr="007C16FE">
        <w:rPr>
          <w:rFonts w:cs="Arial"/>
          <w:lang w:val="es-ES"/>
        </w:rPr>
        <w:t xml:space="preserve"> </w:t>
      </w:r>
      <w:r w:rsidRPr="007C16FE">
        <w:rPr>
          <w:rFonts w:cs="Arial"/>
          <w:lang w:val="es-ES"/>
        </w:rPr>
        <w:t xml:space="preserve">elevados. A pesar de </w:t>
      </w:r>
      <w:r w:rsidR="00D051A0" w:rsidRPr="007C16FE">
        <w:rPr>
          <w:rFonts w:cs="Arial"/>
          <w:lang w:val="es-ES"/>
        </w:rPr>
        <w:t>registrar una caída</w:t>
      </w:r>
      <w:r w:rsidRPr="007C16FE">
        <w:rPr>
          <w:rFonts w:cs="Arial"/>
          <w:lang w:val="es-ES"/>
        </w:rPr>
        <w:t xml:space="preserve"> de un 19% en 2021, con 4,8 billones de EUR, se situaron un 40% por encima del nivel observado en 2019. </w:t>
      </w:r>
    </w:p>
    <w:p w14:paraId="4D974D50" w14:textId="77777777" w:rsidR="005D6C48" w:rsidRPr="007C16FE" w:rsidRDefault="005D6C48" w:rsidP="005D6C48">
      <w:pPr>
        <w:jc w:val="both"/>
        <w:rPr>
          <w:rFonts w:cs="Arial"/>
          <w:lang w:val="es-ES"/>
        </w:rPr>
      </w:pPr>
    </w:p>
    <w:p w14:paraId="407DE7A7" w14:textId="08941EAE" w:rsidR="005D6C48" w:rsidRPr="007C16FE" w:rsidRDefault="005D6C48" w:rsidP="005D6C48">
      <w:pPr>
        <w:jc w:val="both"/>
        <w:rPr>
          <w:rFonts w:cs="Arial"/>
          <w:lang w:val="es-ES"/>
        </w:rPr>
      </w:pPr>
      <w:r w:rsidRPr="007C16FE">
        <w:rPr>
          <w:rFonts w:cs="Arial"/>
          <w:lang w:val="es-ES"/>
        </w:rPr>
        <w:t>La composición del ahorro también cambió ligeramente: la participación de los depósitos bancarios cayó, aunque, con un 63,2 %, siguieron siendo la clase de activos preferida por los ahorradores</w:t>
      </w:r>
      <w:r w:rsidR="003E0839">
        <w:rPr>
          <w:rFonts w:cs="Arial"/>
          <w:lang w:val="es-ES"/>
        </w:rPr>
        <w:t>. P</w:t>
      </w:r>
      <w:r w:rsidRPr="007C16FE">
        <w:rPr>
          <w:rFonts w:cs="Arial"/>
          <w:lang w:val="es-ES"/>
        </w:rPr>
        <w:t xml:space="preserve">or otro lado, los valores, así como los seguros y las pensiones gozaron de un favor creciente entre los ahorradores, pero su participación en </w:t>
      </w:r>
      <w:r w:rsidR="008170D1">
        <w:rPr>
          <w:rFonts w:cs="Arial"/>
          <w:lang w:val="es-ES"/>
        </w:rPr>
        <w:t>el nuevo ahorro</w:t>
      </w:r>
      <w:r w:rsidRPr="007C16FE">
        <w:rPr>
          <w:rFonts w:cs="Arial"/>
          <w:lang w:val="es-ES"/>
        </w:rPr>
        <w:t xml:space="preserve"> fue mucho menor, con un 15,5 % y un 17,4 %, respectivamente. </w:t>
      </w:r>
    </w:p>
    <w:p w14:paraId="007D2CBB" w14:textId="77777777" w:rsidR="005D6C48" w:rsidRPr="007C16FE" w:rsidRDefault="005D6C48" w:rsidP="00526198">
      <w:pPr>
        <w:jc w:val="both"/>
        <w:rPr>
          <w:rFonts w:cs="Arial"/>
          <w:lang w:val="es-ES"/>
        </w:rPr>
      </w:pPr>
    </w:p>
    <w:p w14:paraId="3932CE95" w14:textId="77777777" w:rsidR="005D6C48" w:rsidRPr="00F36297" w:rsidRDefault="005D6C48" w:rsidP="00E60489">
      <w:pPr>
        <w:jc w:val="both"/>
        <w:rPr>
          <w:b/>
          <w:bCs/>
          <w:lang w:val="es-MX"/>
        </w:rPr>
      </w:pPr>
      <w:r w:rsidRPr="007C16FE">
        <w:rPr>
          <w:b/>
          <w:bCs/>
          <w:lang w:val="es-ES"/>
        </w:rPr>
        <w:t>España: Crecimiento del 6,7% en activos financieros</w:t>
      </w:r>
      <w:r w:rsidRPr="00F36297" w:rsidDel="005D6C48">
        <w:rPr>
          <w:b/>
          <w:bCs/>
          <w:lang w:val="es-MX"/>
        </w:rPr>
        <w:t xml:space="preserve"> </w:t>
      </w:r>
    </w:p>
    <w:p w14:paraId="267DF677" w14:textId="77777777" w:rsidR="005D6C48" w:rsidRDefault="005D6C48" w:rsidP="00E60489">
      <w:pPr>
        <w:jc w:val="both"/>
        <w:rPr>
          <w:b/>
          <w:bCs/>
          <w:sz w:val="24"/>
          <w:szCs w:val="24"/>
          <w:lang w:val="es-MX"/>
        </w:rPr>
      </w:pPr>
    </w:p>
    <w:p w14:paraId="32DE4A0F" w14:textId="22D834BF" w:rsidR="005D6C48" w:rsidRDefault="005D6C48" w:rsidP="005D6C48">
      <w:pPr>
        <w:jc w:val="both"/>
        <w:rPr>
          <w:rFonts w:cs="Arial"/>
          <w:bCs/>
          <w:lang w:val="es-ES"/>
        </w:rPr>
      </w:pPr>
      <w:r w:rsidRPr="007C16FE">
        <w:rPr>
          <w:rFonts w:cs="Arial"/>
          <w:bCs/>
          <w:lang w:val="es-ES"/>
        </w:rPr>
        <w:t>Los activos financieros brutos de los hogares españoles crecieron con fuerza</w:t>
      </w:r>
      <w:r w:rsidR="00D051A0" w:rsidRPr="007C16FE">
        <w:rPr>
          <w:rFonts w:cs="Arial"/>
          <w:bCs/>
          <w:lang w:val="es-ES"/>
        </w:rPr>
        <w:t>,</w:t>
      </w:r>
      <w:r w:rsidRPr="007C16FE">
        <w:rPr>
          <w:rFonts w:cs="Arial"/>
          <w:bCs/>
          <w:lang w:val="es-ES"/>
        </w:rPr>
        <w:t xml:space="preserve"> un 6,7%</w:t>
      </w:r>
      <w:r w:rsidR="00D051A0" w:rsidRPr="007C16FE">
        <w:rPr>
          <w:rFonts w:cs="Arial"/>
          <w:bCs/>
          <w:lang w:val="es-ES"/>
        </w:rPr>
        <w:t>,</w:t>
      </w:r>
      <w:r w:rsidRPr="007C16FE">
        <w:rPr>
          <w:rFonts w:cs="Arial"/>
          <w:bCs/>
          <w:lang w:val="es-ES"/>
        </w:rPr>
        <w:t xml:space="preserve"> en 2021</w:t>
      </w:r>
      <w:r w:rsidR="003365DD">
        <w:rPr>
          <w:rFonts w:cs="Arial"/>
          <w:bCs/>
          <w:lang w:val="es-ES"/>
        </w:rPr>
        <w:t>, muy por encima de la media del 3,6% de los últimos años</w:t>
      </w:r>
      <w:r w:rsidRPr="007C16FE">
        <w:rPr>
          <w:rFonts w:cs="Arial"/>
          <w:bCs/>
          <w:lang w:val="es-ES"/>
        </w:rPr>
        <w:t xml:space="preserve">. La razón de este </w:t>
      </w:r>
      <w:r w:rsidRPr="007C16FE">
        <w:rPr>
          <w:rFonts w:cs="Arial"/>
          <w:bCs/>
          <w:lang w:val="es-ES"/>
        </w:rPr>
        <w:lastRenderedPageBreak/>
        <w:t xml:space="preserve">comportamiento se encuentra en </w:t>
      </w:r>
      <w:r w:rsidR="00D051A0" w:rsidRPr="007C16FE">
        <w:rPr>
          <w:rFonts w:cs="Arial"/>
          <w:bCs/>
          <w:lang w:val="es-ES"/>
        </w:rPr>
        <w:t>el ámbito</w:t>
      </w:r>
      <w:r w:rsidRPr="007C16FE">
        <w:rPr>
          <w:rFonts w:cs="Arial"/>
          <w:bCs/>
          <w:lang w:val="es-ES"/>
        </w:rPr>
        <w:t xml:space="preserve"> de activos </w:t>
      </w:r>
      <w:r w:rsidR="00751EBE">
        <w:rPr>
          <w:rFonts w:cs="Arial"/>
          <w:bCs/>
          <w:lang w:val="es-ES"/>
        </w:rPr>
        <w:t xml:space="preserve">en el mercado </w:t>
      </w:r>
      <w:r w:rsidRPr="007C16FE">
        <w:rPr>
          <w:rFonts w:cs="Arial"/>
          <w:bCs/>
          <w:lang w:val="es-ES"/>
        </w:rPr>
        <w:t>de valores, la forma de ahorro más popular de los hogares españoles: creció un 11,5% y su participación en los activos financiero</w:t>
      </w:r>
      <w:r w:rsidR="00871006" w:rsidRPr="007C16FE">
        <w:rPr>
          <w:rFonts w:cs="Arial"/>
          <w:bCs/>
          <w:lang w:val="es-ES"/>
        </w:rPr>
        <w:t>s brutos aumentó casi 2 ppts. alcanzando el</w:t>
      </w:r>
      <w:r w:rsidRPr="007C16FE">
        <w:rPr>
          <w:rFonts w:cs="Arial"/>
          <w:bCs/>
          <w:lang w:val="es-ES"/>
        </w:rPr>
        <w:t xml:space="preserve"> 44%. Aunque la mayor parte de este aumento (72%) puede atribuirse a los mercados bursátiles boyantes, también influyeron los cambios en los comportamientos de ahorro: los ahorradores españoles compraron acciones y fondos de inversión por una suma de EUR 34</w:t>
      </w:r>
      <w:r w:rsidR="008F44A1">
        <w:rPr>
          <w:rFonts w:cs="Arial"/>
          <w:bCs/>
          <w:lang w:val="es-ES"/>
        </w:rPr>
        <w:t>.000 millones</w:t>
      </w:r>
      <w:r w:rsidRPr="007C16FE">
        <w:rPr>
          <w:rFonts w:cs="Arial"/>
          <w:bCs/>
          <w:lang w:val="es-ES"/>
        </w:rPr>
        <w:t xml:space="preserve"> en 2021, un aumento del 54% sobre el año anterior.</w:t>
      </w:r>
    </w:p>
    <w:p w14:paraId="437FD836" w14:textId="77777777" w:rsidR="00AB4F40" w:rsidRDefault="00AB4F40" w:rsidP="005D6C48">
      <w:pPr>
        <w:jc w:val="both"/>
        <w:rPr>
          <w:rFonts w:cs="Arial"/>
          <w:bCs/>
          <w:lang w:val="es-ES"/>
        </w:rPr>
      </w:pPr>
    </w:p>
    <w:p w14:paraId="6F6023F8" w14:textId="683005BE" w:rsidR="005D6C48" w:rsidRPr="007C16FE" w:rsidRDefault="005D6C48" w:rsidP="005D6C48">
      <w:pPr>
        <w:jc w:val="both"/>
        <w:rPr>
          <w:rFonts w:cs="Arial"/>
          <w:bCs/>
          <w:lang w:val="es-ES"/>
        </w:rPr>
      </w:pPr>
      <w:r w:rsidRPr="007C16FE">
        <w:rPr>
          <w:rFonts w:cs="Arial"/>
          <w:bCs/>
          <w:lang w:val="es-ES"/>
        </w:rPr>
        <w:t>Los activos de seguros y fondos de pensiones se estancaron</w:t>
      </w:r>
      <w:r w:rsidR="006A4275">
        <w:rPr>
          <w:rFonts w:cs="Arial"/>
          <w:bCs/>
          <w:lang w:val="es-ES"/>
        </w:rPr>
        <w:t>. L</w:t>
      </w:r>
      <w:r w:rsidRPr="007C16FE">
        <w:rPr>
          <w:rFonts w:cs="Arial"/>
          <w:bCs/>
          <w:lang w:val="es-ES"/>
        </w:rPr>
        <w:t>os hogares españoles incluso retiraron fondos de esta clase d</w:t>
      </w:r>
      <w:r w:rsidR="00871006" w:rsidRPr="007C16FE">
        <w:rPr>
          <w:rFonts w:cs="Arial"/>
          <w:bCs/>
          <w:lang w:val="es-ES"/>
        </w:rPr>
        <w:t>e activos</w:t>
      </w:r>
      <w:r w:rsidRPr="007C16FE">
        <w:rPr>
          <w:rFonts w:cs="Arial"/>
          <w:bCs/>
          <w:lang w:val="es-ES"/>
        </w:rPr>
        <w:t xml:space="preserve"> (-900 millones EUR). La cuota de cartera de esta clase de activos sigue siendo bastante baja, con alrededor del 14% (media de Europa occidental: 38%).</w:t>
      </w:r>
    </w:p>
    <w:p w14:paraId="1870023E" w14:textId="392DF9A6" w:rsidR="00E60489" w:rsidRDefault="00E60489" w:rsidP="00526198">
      <w:pPr>
        <w:jc w:val="both"/>
        <w:rPr>
          <w:rFonts w:cs="Arial"/>
          <w:b/>
          <w:bCs/>
          <w:lang w:val="es-MX"/>
        </w:rPr>
      </w:pPr>
    </w:p>
    <w:p w14:paraId="1884F9DA" w14:textId="77777777" w:rsidR="005D6C48" w:rsidRPr="007C16FE" w:rsidRDefault="005D6C48" w:rsidP="005D6C48">
      <w:pPr>
        <w:jc w:val="both"/>
        <w:rPr>
          <w:rFonts w:cs="Arial"/>
          <w:b/>
          <w:bCs/>
          <w:lang w:val="es-ES"/>
        </w:rPr>
      </w:pPr>
      <w:r w:rsidRPr="007C16FE">
        <w:rPr>
          <w:rFonts w:cs="Arial"/>
          <w:b/>
          <w:bCs/>
          <w:lang w:val="es-ES"/>
        </w:rPr>
        <w:t>Un punto de inflexión</w:t>
      </w:r>
    </w:p>
    <w:p w14:paraId="468A413E" w14:textId="7FAAFCF9" w:rsidR="008E78E3" w:rsidRPr="00A11DD4" w:rsidRDefault="008E78E3" w:rsidP="00526198">
      <w:pPr>
        <w:jc w:val="both"/>
        <w:rPr>
          <w:rFonts w:cs="Arial"/>
          <w:lang w:val="es-MX"/>
        </w:rPr>
      </w:pPr>
    </w:p>
    <w:p w14:paraId="4526C61C" w14:textId="15593B9E" w:rsidR="005D6C48" w:rsidRPr="007C16FE" w:rsidRDefault="005D6C48" w:rsidP="005D6C48">
      <w:pPr>
        <w:jc w:val="both"/>
        <w:rPr>
          <w:rFonts w:cs="Arial"/>
          <w:lang w:val="es-ES"/>
        </w:rPr>
      </w:pPr>
      <w:r w:rsidRPr="007C16FE">
        <w:rPr>
          <w:rFonts w:cs="Arial"/>
          <w:lang w:val="es-ES"/>
        </w:rPr>
        <w:t xml:space="preserve">2022 marca un punto de inflexión. La guerra en Ucrania </w:t>
      </w:r>
      <w:r w:rsidR="008101B1">
        <w:rPr>
          <w:rFonts w:cs="Arial"/>
          <w:lang w:val="es-ES"/>
        </w:rPr>
        <w:t>apagó</w:t>
      </w:r>
      <w:r w:rsidR="008101B1" w:rsidRPr="007C16FE">
        <w:rPr>
          <w:rFonts w:cs="Arial"/>
          <w:lang w:val="es-ES"/>
        </w:rPr>
        <w:t xml:space="preserve"> </w:t>
      </w:r>
      <w:r w:rsidRPr="007C16FE">
        <w:rPr>
          <w:rFonts w:cs="Arial"/>
          <w:lang w:val="es-ES"/>
        </w:rPr>
        <w:t xml:space="preserve">la recuperación posterior a la COVID-19 y puso al mundo patas arriba: una fuerte inflación; la energía y los alimentos escasean y el endurecimiento monetario presiona a las economías y los mercados. La riqueza de los hogares se resentirá. </w:t>
      </w:r>
      <w:r w:rsidRPr="001E1597">
        <w:rPr>
          <w:rFonts w:cs="Arial"/>
          <w:b/>
          <w:bCs/>
          <w:lang w:val="es-ES"/>
        </w:rPr>
        <w:t>Las previsiones apuntan a que los activos financieros mundiales disminuyan más del 2% en 2022,</w:t>
      </w:r>
      <w:r w:rsidRPr="007C16FE">
        <w:rPr>
          <w:rFonts w:cs="Arial"/>
          <w:lang w:val="es-ES"/>
        </w:rPr>
        <w:t xml:space="preserve"> la primera destrucción significativa de la riqueza financiera desde la Gran Crisis Financiera (GFC)</w:t>
      </w:r>
      <w:r w:rsidR="00D051A0" w:rsidRPr="007C16FE">
        <w:rPr>
          <w:rFonts w:cs="Arial"/>
          <w:lang w:val="es-ES"/>
        </w:rPr>
        <w:t>,</w:t>
      </w:r>
      <w:r w:rsidRPr="007C16FE">
        <w:rPr>
          <w:rFonts w:cs="Arial"/>
          <w:lang w:val="es-ES"/>
        </w:rPr>
        <w:t xml:space="preserve"> en 2008.</w:t>
      </w:r>
    </w:p>
    <w:p w14:paraId="7B8AF151" w14:textId="77777777" w:rsidR="005D6C48" w:rsidRPr="007C16FE" w:rsidRDefault="005D6C48" w:rsidP="005D6C48">
      <w:pPr>
        <w:jc w:val="both"/>
        <w:rPr>
          <w:rFonts w:cs="Arial"/>
          <w:lang w:val="es-ES"/>
        </w:rPr>
      </w:pPr>
    </w:p>
    <w:p w14:paraId="1C58A5C4" w14:textId="77777777" w:rsidR="005D6C48" w:rsidRPr="007C16FE" w:rsidRDefault="005D6C48" w:rsidP="005D6C48">
      <w:pPr>
        <w:jc w:val="both"/>
        <w:rPr>
          <w:rFonts w:cs="Arial"/>
          <w:lang w:val="es-ES"/>
        </w:rPr>
      </w:pPr>
      <w:r w:rsidRPr="007C16FE">
        <w:rPr>
          <w:rFonts w:cs="Arial"/>
          <w:lang w:val="es-ES"/>
        </w:rPr>
        <w:t xml:space="preserve">En términos reales, </w:t>
      </w:r>
      <w:r w:rsidRPr="001E1597">
        <w:rPr>
          <w:rFonts w:cs="Arial"/>
          <w:b/>
          <w:bCs/>
          <w:lang w:val="es-ES"/>
        </w:rPr>
        <w:t>los hogares perderán una décima parte de su riqueza</w:t>
      </w:r>
      <w:r w:rsidRPr="007C16FE">
        <w:rPr>
          <w:rFonts w:cs="Arial"/>
          <w:lang w:val="es-ES"/>
        </w:rPr>
        <w:t>. Pero a diferencia de la GFC, a la que siguió un cambio relativamente rápido, en esta ocasión la perspectiva a medio plazo también es bastante sombría: se espera que el crecimiento nominal medio de los activos financieros sea del 4,6% hasta 2025, frente al 10,4%  de los tres años precedentes.</w:t>
      </w:r>
    </w:p>
    <w:p w14:paraId="0FDC1511" w14:textId="77777777" w:rsidR="005D6C48" w:rsidRPr="007C16FE" w:rsidRDefault="005D6C48" w:rsidP="005D6C48">
      <w:pPr>
        <w:jc w:val="both"/>
        <w:rPr>
          <w:rFonts w:cs="Arial"/>
          <w:lang w:val="es-ES"/>
        </w:rPr>
      </w:pPr>
    </w:p>
    <w:p w14:paraId="0920DDE2" w14:textId="42D33118" w:rsidR="005D6C48" w:rsidRPr="007C16FE" w:rsidRDefault="005D6C48" w:rsidP="005D6C48">
      <w:pPr>
        <w:jc w:val="both"/>
        <w:rPr>
          <w:rFonts w:cs="Arial"/>
          <w:lang w:val="es-ES"/>
        </w:rPr>
      </w:pPr>
      <w:r w:rsidRPr="007C16FE">
        <w:rPr>
          <w:rFonts w:cs="Arial"/>
          <w:i/>
          <w:lang w:val="es-ES"/>
        </w:rPr>
        <w:t>“2021 pone fin a una era”</w:t>
      </w:r>
      <w:r w:rsidRPr="007C16FE">
        <w:rPr>
          <w:rFonts w:cs="Arial"/>
          <w:lang w:val="es-ES"/>
        </w:rPr>
        <w:t xml:space="preserve">, </w:t>
      </w:r>
      <w:r w:rsidR="00847800">
        <w:rPr>
          <w:rFonts w:cs="Arial"/>
          <w:lang w:val="es-ES"/>
        </w:rPr>
        <w:t>dice</w:t>
      </w:r>
      <w:r w:rsidR="00847800" w:rsidRPr="007C16FE">
        <w:rPr>
          <w:rFonts w:cs="Arial"/>
          <w:lang w:val="es-ES"/>
        </w:rPr>
        <w:t xml:space="preserve"> </w:t>
      </w:r>
      <w:r w:rsidRPr="007C16FE">
        <w:rPr>
          <w:rFonts w:cs="Arial"/>
          <w:lang w:val="es-ES"/>
        </w:rPr>
        <w:t xml:space="preserve">Ludovic Subran, economista jefe de Allianz. </w:t>
      </w:r>
      <w:r w:rsidRPr="007C16FE">
        <w:rPr>
          <w:rFonts w:cs="Arial"/>
          <w:i/>
          <w:lang w:val="es-ES"/>
        </w:rPr>
        <w:t xml:space="preserve">“Los últimos tres años </w:t>
      </w:r>
      <w:r w:rsidR="008A140D">
        <w:rPr>
          <w:rFonts w:cs="Arial"/>
          <w:i/>
          <w:lang w:val="es-ES"/>
        </w:rPr>
        <w:t>fueron</w:t>
      </w:r>
      <w:r w:rsidRPr="007C16FE">
        <w:rPr>
          <w:rFonts w:cs="Arial"/>
          <w:i/>
          <w:lang w:val="es-ES"/>
        </w:rPr>
        <w:t xml:space="preserve"> extraordinarios. </w:t>
      </w:r>
      <w:r w:rsidR="002F6F0C">
        <w:rPr>
          <w:rFonts w:cs="Arial"/>
          <w:i/>
          <w:lang w:val="es-ES"/>
        </w:rPr>
        <w:t>Hubo</w:t>
      </w:r>
      <w:r w:rsidR="002F6F0C" w:rsidRPr="007C16FE">
        <w:rPr>
          <w:rFonts w:cs="Arial"/>
          <w:i/>
          <w:lang w:val="es-ES"/>
        </w:rPr>
        <w:t xml:space="preserve"> </w:t>
      </w:r>
      <w:r w:rsidRPr="007C16FE">
        <w:rPr>
          <w:rFonts w:cs="Arial"/>
          <w:i/>
          <w:lang w:val="es-ES"/>
        </w:rPr>
        <w:t xml:space="preserve">una bonanza para la mayoría de los ahorradores. No solo 2022 sino los próximos años serán diferentes. La crisis del coste de vida pone a prueba el contrato social. </w:t>
      </w:r>
      <w:r w:rsidR="002F6F0C">
        <w:rPr>
          <w:rFonts w:cs="Arial"/>
          <w:i/>
          <w:lang w:val="es-ES"/>
        </w:rPr>
        <w:t>Los gobernantes</w:t>
      </w:r>
      <w:r w:rsidRPr="007C16FE">
        <w:rPr>
          <w:rFonts w:cs="Arial"/>
          <w:i/>
          <w:lang w:val="es-ES"/>
        </w:rPr>
        <w:t xml:space="preserve"> se enfrentan al enorme desafío de dominar la crisis energética, asegurar la transformación ecológica y estimular el crecimiento mientras la política monetaria frena con fuerza. Ya no hay lugar para errores de política. La clave del éxito serán las medidas innovadoras y específicas a nivel nacional y la unidad europea a nivel supranacional”</w:t>
      </w:r>
      <w:r w:rsidRPr="007C16FE">
        <w:rPr>
          <w:rFonts w:cs="Arial"/>
          <w:lang w:val="es-ES"/>
        </w:rPr>
        <w:t>.</w:t>
      </w:r>
    </w:p>
    <w:p w14:paraId="66715886" w14:textId="5E3F97E7" w:rsidR="00E60489" w:rsidRDefault="00E60489" w:rsidP="00526198">
      <w:pPr>
        <w:jc w:val="both"/>
        <w:rPr>
          <w:rFonts w:cs="Arial"/>
          <w:lang w:val="es-MX"/>
        </w:rPr>
      </w:pPr>
    </w:p>
    <w:p w14:paraId="1E5FA99A" w14:textId="2424B488" w:rsidR="004419C7" w:rsidRPr="00B73E31" w:rsidRDefault="004419C7" w:rsidP="00526198">
      <w:pPr>
        <w:jc w:val="both"/>
        <w:rPr>
          <w:rFonts w:cs="Arial"/>
          <w:bCs/>
          <w:lang w:val="es-ES_tradnl"/>
        </w:rPr>
      </w:pPr>
    </w:p>
    <w:p w14:paraId="006D37BD" w14:textId="2918D7C5" w:rsidR="006A6412" w:rsidRPr="00B73E31" w:rsidRDefault="00D051A0" w:rsidP="00DC0F9C">
      <w:pPr>
        <w:rPr>
          <w:sz w:val="20"/>
        </w:rPr>
      </w:pPr>
      <w:r>
        <w:rPr>
          <w:rFonts w:cs="Arial"/>
          <w:b/>
          <w:sz w:val="18"/>
          <w:szCs w:val="18"/>
        </w:rPr>
        <w:t>A</w:t>
      </w:r>
      <w:r w:rsidR="006A6412" w:rsidRPr="00B73E31">
        <w:rPr>
          <w:rFonts w:cs="Arial"/>
          <w:b/>
          <w:sz w:val="18"/>
          <w:szCs w:val="18"/>
        </w:rPr>
        <w:t>bout Allianz</w:t>
      </w:r>
    </w:p>
    <w:p w14:paraId="78FFFF56" w14:textId="77777777" w:rsidR="006A6412" w:rsidRPr="00B73E31" w:rsidRDefault="006A6412" w:rsidP="006A6412">
      <w:pPr>
        <w:spacing w:after="238" w:line="238" w:lineRule="exact"/>
        <w:contextualSpacing/>
        <w:jc w:val="both"/>
        <w:rPr>
          <w:rFonts w:cs="Arial"/>
          <w:sz w:val="18"/>
          <w:szCs w:val="18"/>
          <w:lang w:val="en-US"/>
        </w:rPr>
      </w:pPr>
      <w:r w:rsidRPr="00B73E31">
        <w:rPr>
          <w:rFonts w:cs="Arial"/>
          <w:sz w:val="18"/>
          <w:szCs w:val="18"/>
          <w:lang w:val="en-US"/>
        </w:rPr>
        <w:t>The Allianz Group is one of the world's leading insurers and asset managers with more than 100 million retail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740 billion euros on behalf of its insurance customers. Furthermore, our asset managers PIMCO and Allianz Global Investors manage almost 1.6 trillion euros of third-party assets. Thanks to our systematic integration of ecological and social criteria in our business processes and investment decisions, we hold the leading position for insurers in the Dow Jones Sustainability Index. In 2019, over 147,000 employees achieved total revenues of 142 billion euros and an operating profit of 11.9 billion euros for the group.</w:t>
      </w:r>
    </w:p>
    <w:p w14:paraId="092F6685" w14:textId="2DB80F7F" w:rsidR="006A6412" w:rsidRPr="00B73E31" w:rsidRDefault="006A6412" w:rsidP="006A6412">
      <w:pPr>
        <w:spacing w:after="238" w:line="238" w:lineRule="exact"/>
        <w:contextualSpacing/>
        <w:jc w:val="both"/>
        <w:rPr>
          <w:rFonts w:cs="Arial"/>
          <w:sz w:val="18"/>
          <w:szCs w:val="18"/>
          <w:lang w:val="en-US"/>
        </w:rPr>
      </w:pPr>
    </w:p>
    <w:p w14:paraId="1EF1D395" w14:textId="6CF9E289" w:rsidR="006A6412" w:rsidRPr="00B73E31" w:rsidRDefault="006A6412" w:rsidP="00C20958">
      <w:pPr>
        <w:spacing w:after="238" w:line="238" w:lineRule="exact"/>
        <w:contextualSpacing/>
        <w:jc w:val="both"/>
        <w:rPr>
          <w:rFonts w:cs="Arial"/>
          <w:sz w:val="18"/>
          <w:szCs w:val="18"/>
          <w:lang w:val="en-US"/>
        </w:rPr>
      </w:pPr>
      <w:r w:rsidRPr="00B73E31">
        <w:rPr>
          <w:rFonts w:cs="Arial"/>
          <w:sz w:val="18"/>
          <w:szCs w:val="18"/>
          <w:lang w:val="en-US"/>
        </w:rPr>
        <w:t>These assessments are, as always, subject to the disclaimer provided below.</w:t>
      </w:r>
    </w:p>
    <w:p w14:paraId="3E4EAFF4" w14:textId="77777777" w:rsidR="006A6412" w:rsidRPr="00B73E31" w:rsidRDefault="006A6412" w:rsidP="006A6412">
      <w:pPr>
        <w:spacing w:line="260" w:lineRule="exact"/>
        <w:ind w:right="285"/>
        <w:rPr>
          <w:rFonts w:cs="Arial"/>
          <w:b/>
          <w:sz w:val="18"/>
          <w:szCs w:val="18"/>
          <w:lang w:val="en-US"/>
        </w:rPr>
      </w:pPr>
    </w:p>
    <w:p w14:paraId="6BC0FFA6" w14:textId="77777777" w:rsidR="006A6412" w:rsidRPr="00B73E31" w:rsidRDefault="006A6412" w:rsidP="006A6412">
      <w:pPr>
        <w:spacing w:line="260" w:lineRule="exact"/>
        <w:ind w:right="285"/>
        <w:rPr>
          <w:rFonts w:cs="Arial"/>
          <w:b/>
          <w:sz w:val="18"/>
          <w:szCs w:val="18"/>
          <w:lang w:val="en-US"/>
        </w:rPr>
      </w:pPr>
    </w:p>
    <w:p w14:paraId="661C859A" w14:textId="77777777" w:rsidR="006A6412" w:rsidRPr="00B73E31" w:rsidRDefault="006A6412" w:rsidP="006A6412">
      <w:pPr>
        <w:spacing w:line="260" w:lineRule="exact"/>
        <w:ind w:right="285"/>
        <w:rPr>
          <w:rFonts w:cs="Arial"/>
          <w:b/>
          <w:sz w:val="18"/>
          <w:szCs w:val="18"/>
          <w:lang w:val="en-US"/>
        </w:rPr>
      </w:pPr>
      <w:r w:rsidRPr="00B73E31">
        <w:rPr>
          <w:rFonts w:cs="Arial"/>
          <w:b/>
          <w:sz w:val="18"/>
          <w:szCs w:val="18"/>
          <w:lang w:val="en-US"/>
        </w:rPr>
        <w:lastRenderedPageBreak/>
        <w:t>Cautionary note regarding forward-looking statements</w:t>
      </w:r>
    </w:p>
    <w:p w14:paraId="6F3E605A" w14:textId="77777777" w:rsidR="006A6412" w:rsidRPr="00B73E31" w:rsidRDefault="006A6412" w:rsidP="006A6412">
      <w:pPr>
        <w:spacing w:after="238" w:line="238" w:lineRule="exact"/>
        <w:contextualSpacing/>
        <w:jc w:val="both"/>
        <w:rPr>
          <w:rFonts w:cs="Arial"/>
          <w:sz w:val="18"/>
          <w:szCs w:val="18"/>
          <w:lang w:val="en-US"/>
        </w:rPr>
      </w:pPr>
      <w:r w:rsidRPr="00B73E31">
        <w:rPr>
          <w:rFonts w:cs="Arial"/>
          <w:sz w:val="18"/>
          <w:szCs w:val="18"/>
          <w:lang w:val="en-US"/>
        </w:rPr>
        <w:t>This document includes forward-looking statements, such as prospects or expectations, that are based on management's current views and assumptions and subject to known and unknown risks and uncertainties. Actual results, performance figures, or events may differ significantly from those expressed or implied in such forward-looking statements. Deviations may arise due to changes in factors including, but not limited to, the following: (i) the general economic and competitive situation in the Allianz Group's core business and core markets, (ii) the performance of financial markets (in particular market volatility, liquidity, and credit events), (iii) the frequency and severity of insured loss events, including those resulting from natural catastrophes, and the development of loss expenses, (iv) mortality and morbidity levels and trends, (v) persistency levels, (vi) particularly in the banking business, the extent of credit defaults, (vii) interest rate levels, (viii) currency exchange rates, most notably the EUR/USD exchange rate, (ix) changes in laws and regulations, including tax regulations, (x) the impact of acquisitions including and related integration issues and reorganization measures, and (xi) the general competitive conditions that, in each individual case, apply at a local, regional, national, and/or global level. Many of these changes can be exacerbated by terrorist activities.</w:t>
      </w:r>
    </w:p>
    <w:p w14:paraId="47033CC1" w14:textId="77777777" w:rsidR="006A6412" w:rsidRPr="00B73E31" w:rsidRDefault="006A6412" w:rsidP="006A6412">
      <w:pPr>
        <w:spacing w:line="260" w:lineRule="exact"/>
        <w:ind w:right="285"/>
        <w:rPr>
          <w:rFonts w:cs="Arial"/>
          <w:sz w:val="18"/>
          <w:szCs w:val="18"/>
          <w:lang w:val="en-US"/>
        </w:rPr>
      </w:pPr>
    </w:p>
    <w:p w14:paraId="623E8CDB" w14:textId="77777777" w:rsidR="006A6412" w:rsidRPr="00B73E31" w:rsidRDefault="006A6412" w:rsidP="006A6412">
      <w:pPr>
        <w:spacing w:line="260" w:lineRule="exact"/>
        <w:ind w:right="285"/>
        <w:rPr>
          <w:rFonts w:cs="Arial"/>
          <w:b/>
          <w:sz w:val="18"/>
          <w:szCs w:val="18"/>
          <w:lang w:val="en-US"/>
        </w:rPr>
      </w:pPr>
      <w:r w:rsidRPr="00B73E31">
        <w:rPr>
          <w:rFonts w:cs="Arial"/>
          <w:b/>
          <w:sz w:val="18"/>
          <w:szCs w:val="18"/>
          <w:lang w:val="en-US"/>
        </w:rPr>
        <w:t>No duty to update</w:t>
      </w:r>
    </w:p>
    <w:p w14:paraId="14AE981C" w14:textId="77777777" w:rsidR="006A6412" w:rsidRPr="00B73E31" w:rsidRDefault="006A6412" w:rsidP="006A6412">
      <w:pPr>
        <w:spacing w:after="238" w:line="238" w:lineRule="exact"/>
        <w:contextualSpacing/>
        <w:jc w:val="both"/>
        <w:rPr>
          <w:rFonts w:cs="Arial"/>
          <w:sz w:val="18"/>
          <w:szCs w:val="18"/>
          <w:lang w:val="en-US"/>
        </w:rPr>
      </w:pPr>
      <w:r w:rsidRPr="00B73E31">
        <w:rPr>
          <w:rFonts w:cs="Arial"/>
          <w:sz w:val="18"/>
          <w:szCs w:val="18"/>
          <w:lang w:val="en-US"/>
        </w:rPr>
        <w:t>The Allianz Group assumes no obligation to update any information or forward-looking statement contained herein, save for any information we are required to disclose by law.</w:t>
      </w:r>
    </w:p>
    <w:p w14:paraId="090E28E4" w14:textId="77777777" w:rsidR="006A6412" w:rsidRPr="00B73E31" w:rsidRDefault="006A6412" w:rsidP="006A6412">
      <w:pPr>
        <w:spacing w:line="260" w:lineRule="exact"/>
        <w:ind w:right="285"/>
        <w:rPr>
          <w:rFonts w:ascii="Allianz Neo Light" w:hAnsi="Allianz Neo Light" w:cs="Arial"/>
          <w:color w:val="5B6064"/>
          <w:sz w:val="17"/>
          <w:szCs w:val="17"/>
          <w:lang w:val="en-US"/>
        </w:rPr>
      </w:pPr>
    </w:p>
    <w:p w14:paraId="7F436793" w14:textId="77777777" w:rsidR="006A6412" w:rsidRPr="00B73E31" w:rsidRDefault="006A6412" w:rsidP="006A6412">
      <w:pPr>
        <w:spacing w:line="260" w:lineRule="exact"/>
        <w:ind w:right="285"/>
        <w:rPr>
          <w:rFonts w:cs="Arial"/>
          <w:b/>
          <w:sz w:val="18"/>
          <w:szCs w:val="18"/>
          <w:lang w:val="en-US"/>
        </w:rPr>
      </w:pPr>
      <w:r w:rsidRPr="00B73E31">
        <w:rPr>
          <w:rFonts w:cs="Arial"/>
          <w:b/>
          <w:sz w:val="18"/>
          <w:szCs w:val="18"/>
          <w:lang w:val="en-US"/>
        </w:rPr>
        <w:t>Privacy Note</w:t>
      </w:r>
    </w:p>
    <w:p w14:paraId="57E96DCF" w14:textId="77777777" w:rsidR="006A6412" w:rsidRPr="00B73E31" w:rsidRDefault="006A6412" w:rsidP="006A6412">
      <w:pPr>
        <w:rPr>
          <w:rFonts w:ascii="Allianz Neo Light" w:hAnsi="Allianz Neo Light" w:cs="Arial"/>
          <w:color w:val="5B6064"/>
          <w:sz w:val="17"/>
          <w:szCs w:val="17"/>
          <w:lang w:val="en-US"/>
        </w:rPr>
      </w:pPr>
      <w:r w:rsidRPr="00B73E31">
        <w:rPr>
          <w:rFonts w:cs="Arial"/>
          <w:sz w:val="18"/>
          <w:szCs w:val="18"/>
          <w:lang w:val="en-US"/>
        </w:rPr>
        <w:t xml:space="preserve">Allianz SE is committed to protecting your personal data. Find out more in our </w:t>
      </w:r>
      <w:hyperlink r:id="rId11" w:history="1">
        <w:r w:rsidRPr="00B73E31">
          <w:rPr>
            <w:rFonts w:cs="Arial"/>
            <w:b/>
            <w:sz w:val="18"/>
            <w:szCs w:val="18"/>
            <w:lang w:val="en-US"/>
          </w:rPr>
          <w:t>Privacy Statement</w:t>
        </w:r>
      </w:hyperlink>
      <w:r w:rsidRPr="00B73E31">
        <w:rPr>
          <w:rFonts w:cs="Arial"/>
          <w:bCs/>
          <w:sz w:val="18"/>
          <w:szCs w:val="18"/>
          <w:lang w:val="en-US"/>
        </w:rPr>
        <w:t>.</w:t>
      </w:r>
    </w:p>
    <w:p w14:paraId="31267E55" w14:textId="77777777" w:rsidR="006A6412" w:rsidRPr="00B73E31" w:rsidRDefault="006A6412" w:rsidP="006A6412">
      <w:pPr>
        <w:rPr>
          <w:rFonts w:cs="Arial"/>
          <w:sz w:val="18"/>
          <w:szCs w:val="18"/>
          <w:lang w:val="en-US"/>
        </w:rPr>
      </w:pPr>
    </w:p>
    <w:p w14:paraId="2CC95E71" w14:textId="77777777" w:rsidR="006A6412" w:rsidRPr="00B73E31" w:rsidRDefault="006A6412" w:rsidP="006A6412">
      <w:pPr>
        <w:pStyle w:val="TextPM"/>
        <w:spacing w:after="0"/>
        <w:rPr>
          <w:rFonts w:cs="Arial"/>
          <w:sz w:val="18"/>
          <w:szCs w:val="18"/>
          <w:lang w:val="en-US"/>
        </w:rPr>
      </w:pPr>
    </w:p>
    <w:p w14:paraId="2AA40D5A" w14:textId="77777777" w:rsidR="006A08B2" w:rsidRPr="00B73E31" w:rsidRDefault="006A08B2" w:rsidP="006A6412">
      <w:pPr>
        <w:rPr>
          <w:rStyle w:val="Nmerodepgina"/>
          <w:lang w:val="en-US"/>
        </w:rPr>
      </w:pPr>
    </w:p>
    <w:sectPr w:rsidR="006A08B2" w:rsidRPr="00B73E31" w:rsidSect="005D5DED">
      <w:headerReference w:type="default" r:id="rId12"/>
      <w:footerReference w:type="default" r:id="rId13"/>
      <w:headerReference w:type="first" r:id="rId14"/>
      <w:footerReference w:type="first" r:id="rId15"/>
      <w:pgSz w:w="11900" w:h="16840"/>
      <w:pgMar w:top="1701" w:right="1418" w:bottom="2155"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0A79" w14:textId="77777777" w:rsidR="007F5614" w:rsidRDefault="007F5614">
      <w:r>
        <w:separator/>
      </w:r>
    </w:p>
  </w:endnote>
  <w:endnote w:type="continuationSeparator" w:id="0">
    <w:p w14:paraId="65EE243E" w14:textId="77777777" w:rsidR="007F5614" w:rsidRDefault="007F5614">
      <w:r>
        <w:continuationSeparator/>
      </w:r>
    </w:p>
  </w:endnote>
  <w:endnote w:type="continuationNotice" w:id="1">
    <w:p w14:paraId="75365DF7" w14:textId="77777777" w:rsidR="007F5614" w:rsidRDefault="007F5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ormata Condensed">
    <w:altName w:val="Courier New"/>
    <w:charset w:val="00"/>
    <w:family w:val="roman"/>
    <w:pitch w:val="default"/>
  </w:font>
  <w:font w:name="Segoe UI">
    <w:panose1 w:val="020B0502040204020203"/>
    <w:charset w:val="00"/>
    <w:family w:val="swiss"/>
    <w:pitch w:val="variable"/>
    <w:sig w:usb0="E4002EFF" w:usb1="C000E47F" w:usb2="00000009" w:usb3="00000000" w:csb0="000001FF" w:csb1="00000000"/>
  </w:font>
  <w:font w:name="Allianz Neo Light">
    <w:panose1 w:val="020B0304020203020204"/>
    <w:charset w:val="00"/>
    <w:family w:val="swiss"/>
    <w:pitch w:val="variable"/>
    <w:sig w:usb0="A000006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D200" w14:textId="7F1E9D99" w:rsidR="00B73E31" w:rsidRDefault="00B73E31">
    <w:pPr>
      <w:pStyle w:val="Piedepgina"/>
      <w:tabs>
        <w:tab w:val="clear" w:pos="9072"/>
        <w:tab w:val="right" w:pos="9044"/>
      </w:tabs>
      <w:jc w:val="right"/>
    </w:pPr>
    <w:r>
      <w:t xml:space="preserve">page </w:t>
    </w:r>
    <w:r>
      <w:fldChar w:fldCharType="begin"/>
    </w:r>
    <w:r>
      <w:instrText xml:space="preserve"> PAGE </w:instrText>
    </w:r>
    <w:r>
      <w:fldChar w:fldCharType="separate"/>
    </w:r>
    <w:r w:rsidR="009E182A">
      <w:rPr>
        <w:noProof/>
      </w:rPr>
      <w:t>3</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2282" w14:textId="77777777" w:rsidR="00B73E31" w:rsidRDefault="00B73E31">
    <w:pPr>
      <w:pStyle w:val="Piedepgina"/>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2777B" w14:textId="77777777" w:rsidR="007F5614" w:rsidRDefault="007F5614">
      <w:r>
        <w:separator/>
      </w:r>
    </w:p>
  </w:footnote>
  <w:footnote w:type="continuationSeparator" w:id="0">
    <w:p w14:paraId="35AA9C47" w14:textId="77777777" w:rsidR="007F5614" w:rsidRDefault="007F5614">
      <w:r>
        <w:continuationSeparator/>
      </w:r>
    </w:p>
  </w:footnote>
  <w:footnote w:type="continuationNotice" w:id="1">
    <w:p w14:paraId="6A6A8862" w14:textId="77777777" w:rsidR="007F5614" w:rsidRDefault="007F56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1946" w14:textId="4829DA94" w:rsidR="00B73E31" w:rsidRDefault="001F63AE">
    <w:pPr>
      <w:pStyle w:val="Encabezado"/>
    </w:pPr>
    <w:r>
      <w:rPr>
        <w:noProof/>
        <w:lang w:val="es-ES" w:eastAsia="es-ES"/>
      </w:rPr>
      <mc:AlternateContent>
        <mc:Choice Requires="wps">
          <w:drawing>
            <wp:anchor distT="0" distB="0" distL="114300" distR="114300" simplePos="0" relativeHeight="251658243" behindDoc="0" locked="0" layoutInCell="0" allowOverlap="1" wp14:anchorId="08B32993" wp14:editId="06997424">
              <wp:simplePos x="0" y="0"/>
              <wp:positionH relativeFrom="page">
                <wp:posOffset>0</wp:posOffset>
              </wp:positionH>
              <wp:positionV relativeFrom="page">
                <wp:posOffset>190500</wp:posOffset>
              </wp:positionV>
              <wp:extent cx="7556500" cy="161290"/>
              <wp:effectExtent l="0" t="0" r="6350" b="10160"/>
              <wp:wrapNone/>
              <wp:docPr id="3" name="MSIPCM354f4e33a23e5e8fb45022a3" descr="{&quot;HashCode&quot;:417909460,&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49EFA519" w14:textId="054608F7" w:rsidR="001F63AE" w:rsidRPr="001F63AE" w:rsidRDefault="001F63AE" w:rsidP="001F63AE">
                          <w:pPr>
                            <w:jc w:val="center"/>
                            <w:rPr>
                              <w:rFonts w:ascii="Calibri" w:hAnsi="Calibri" w:cs="Calibri"/>
                              <w:sz w:val="20"/>
                            </w:rPr>
                          </w:pPr>
                          <w:r w:rsidRPr="001F63AE">
                            <w:rPr>
                              <w:rFonts w:ascii="Calibri" w:hAnsi="Calibri" w:cs="Calibri"/>
                              <w:sz w:val="20"/>
                            </w:rPr>
                            <w:t>Internal</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8B32993" id="_x0000_t202" coordsize="21600,21600" o:spt="202" path="m,l,21600r21600,l21600,xe">
              <v:stroke joinstyle="miter"/>
              <v:path gradientshapeok="t" o:connecttype="rect"/>
            </v:shapetype>
            <v:shape id="MSIPCM354f4e33a23e5e8fb45022a3" o:spid="_x0000_s1026" type="#_x0000_t202" alt="{&quot;HashCode&quot;:417909460,&quot;Height&quot;:842.0,&quot;Width&quot;:595.0,&quot;Placement&quot;:&quot;Header&quot;,&quot;Index&quot;:&quot;Primary&quot;,&quot;Section&quot;:1,&quot;Top&quot;:0.0,&quot;Left&quot;:0.0}" style="position:absolute;margin-left:0;margin-top:15pt;width:595pt;height:12.7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" o:allowincell="f" filled="f" stroked="f" strokeweight=".5pt">
              <v:textbox style="mso-fit-shape-to-text:t" inset="0,0,0,0">
                <w:txbxContent>
                  <w:p w14:paraId="49EFA519" w14:textId="054608F7" w:rsidR="001F63AE" w:rsidRPr="001F63AE" w:rsidRDefault="001F63AE" w:rsidP="001F63AE">
                    <w:pPr>
                      <w:jc w:val="center"/>
                      <w:rPr>
                        <w:rFonts w:ascii="Calibri" w:hAnsi="Calibri" w:cs="Calibri"/>
                        <w:sz w:val="20"/>
                      </w:rPr>
                    </w:pPr>
                    <w:r w:rsidRPr="001F63AE">
                      <w:rPr>
                        <w:rFonts w:ascii="Calibri" w:hAnsi="Calibri" w:cs="Calibri"/>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5DCB7" w14:textId="76F46609" w:rsidR="00B73E31" w:rsidRDefault="001F63AE">
    <w:pPr>
      <w:pStyle w:val="Encabezado"/>
      <w:tabs>
        <w:tab w:val="clear" w:pos="9072"/>
        <w:tab w:val="right" w:pos="9044"/>
      </w:tabs>
      <w:rPr>
        <w:rStyle w:val="Nmerodepgina"/>
        <w:rFonts w:eastAsia="Arial Unicode MS" w:cs="Arial Unicode MS"/>
      </w:rPr>
    </w:pPr>
    <w:r>
      <w:rPr>
        <w:noProof/>
        <w:lang w:val="es-ES" w:eastAsia="es-ES"/>
      </w:rPr>
      <mc:AlternateContent>
        <mc:Choice Requires="wps">
          <w:drawing>
            <wp:anchor distT="0" distB="0" distL="114300" distR="114300" simplePos="0" relativeHeight="251658244" behindDoc="0" locked="0" layoutInCell="0" allowOverlap="1" wp14:anchorId="18FB5E42" wp14:editId="069D5945">
              <wp:simplePos x="0" y="0"/>
              <wp:positionH relativeFrom="page">
                <wp:posOffset>0</wp:posOffset>
              </wp:positionH>
              <wp:positionV relativeFrom="page">
                <wp:posOffset>190500</wp:posOffset>
              </wp:positionV>
              <wp:extent cx="7556500" cy="161290"/>
              <wp:effectExtent l="0" t="0" r="6350" b="10160"/>
              <wp:wrapNone/>
              <wp:docPr id="4" name="MSIPCMcd0041f0be0cd68538541c15" descr="{&quot;HashCode&quot;:417909460,&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66E01B94" w14:textId="0ED61DFC" w:rsidR="001F63AE" w:rsidRPr="001F63AE" w:rsidRDefault="001F63AE" w:rsidP="001F63AE">
                          <w:pPr>
                            <w:jc w:val="center"/>
                            <w:rPr>
                              <w:rFonts w:ascii="Calibri" w:hAnsi="Calibri" w:cs="Calibri"/>
                              <w:sz w:val="20"/>
                            </w:rPr>
                          </w:pPr>
                          <w:r w:rsidRPr="001F63AE">
                            <w:rPr>
                              <w:rFonts w:ascii="Calibri" w:hAnsi="Calibri" w:cs="Calibri"/>
                              <w:sz w:val="20"/>
                            </w:rPr>
                            <w:t>Internal</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8FB5E42" id="_x0000_t202" coordsize="21600,21600" o:spt="202" path="m,l,21600r21600,l21600,xe">
              <v:stroke joinstyle="miter"/>
              <v:path gradientshapeok="t" o:connecttype="rect"/>
            </v:shapetype>
            <v:shape id="MSIPCMcd0041f0be0cd68538541c15" o:spid="_x0000_s1027" type="#_x0000_t202" alt="{&quot;HashCode&quot;:417909460,&quot;Height&quot;:842.0,&quot;Width&quot;:595.0,&quot;Placement&quot;:&quot;Header&quot;,&quot;Index&quot;:&quot;FirstPage&quot;,&quot;Section&quot;:1,&quot;Top&quot;:0.0,&quot;Left&quot;:0.0}" style="position:absolute;margin-left:0;margin-top:15pt;width:595pt;height:12.7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" o:allowincell="f" filled="f" stroked="f" strokeweight=".5pt">
              <v:textbox style="mso-fit-shape-to-text:t" inset="0,0,0,0">
                <w:txbxContent>
                  <w:p w14:paraId="66E01B94" w14:textId="0ED61DFC" w:rsidR="001F63AE" w:rsidRPr="001F63AE" w:rsidRDefault="001F63AE" w:rsidP="001F63AE">
                    <w:pPr>
                      <w:jc w:val="center"/>
                      <w:rPr>
                        <w:rFonts w:ascii="Calibri" w:hAnsi="Calibri" w:cs="Calibri"/>
                        <w:sz w:val="20"/>
                      </w:rPr>
                    </w:pPr>
                    <w:r w:rsidRPr="001F63AE">
                      <w:rPr>
                        <w:rFonts w:ascii="Calibri" w:hAnsi="Calibri" w:cs="Calibri"/>
                        <w:sz w:val="20"/>
                      </w:rPr>
                      <w:t>Internal</w:t>
                    </w:r>
                  </w:p>
                </w:txbxContent>
              </v:textbox>
              <w10:wrap anchorx="page" anchory="page"/>
            </v:shape>
          </w:pict>
        </mc:Fallback>
      </mc:AlternateContent>
    </w:r>
    <w:r w:rsidR="00B73E31">
      <w:rPr>
        <w:noProof/>
        <w:lang w:val="es-ES" w:eastAsia="es-ES"/>
      </w:rPr>
      <w:drawing>
        <wp:anchor distT="152400" distB="152400" distL="152400" distR="152400" simplePos="0" relativeHeight="251658240" behindDoc="1" locked="0" layoutInCell="1" allowOverlap="1" wp14:anchorId="195AAA0D" wp14:editId="463A80DA">
          <wp:simplePos x="0" y="0"/>
          <wp:positionH relativeFrom="margin">
            <wp:align>right</wp:align>
          </wp:positionH>
          <wp:positionV relativeFrom="page">
            <wp:posOffset>264160</wp:posOffset>
          </wp:positionV>
          <wp:extent cx="1533526" cy="336550"/>
          <wp:effectExtent l="0" t="0" r="9525" b="635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llianz_Logo.jpg"/>
                  <pic:cNvPicPr>
                    <a:picLocks noChangeAspect="1"/>
                  </pic:cNvPicPr>
                </pic:nvPicPr>
                <pic:blipFill>
                  <a:blip r:embed="rId1"/>
                  <a:srcRect l="65653" b="8389"/>
                  <a:stretch>
                    <a:fillRect/>
                  </a:stretch>
                </pic:blipFill>
                <pic:spPr>
                  <a:xfrm>
                    <a:off x="0" y="0"/>
                    <a:ext cx="1533526" cy="336550"/>
                  </a:xfrm>
                  <a:prstGeom prst="rect">
                    <a:avLst/>
                  </a:prstGeom>
                  <a:ln w="12700" cap="flat">
                    <a:noFill/>
                    <a:miter lim="400000"/>
                  </a:ln>
                  <a:effectLst/>
                </pic:spPr>
              </pic:pic>
            </a:graphicData>
          </a:graphic>
        </wp:anchor>
      </w:drawing>
    </w:r>
    <w:r w:rsidR="00B73E31">
      <w:rPr>
        <w:noProof/>
        <w:lang w:val="es-ES" w:eastAsia="es-ES"/>
      </w:rPr>
      <mc:AlternateContent>
        <mc:Choice Requires="wps">
          <w:drawing>
            <wp:anchor distT="152400" distB="152400" distL="152400" distR="152400" simplePos="0" relativeHeight="251658241" behindDoc="1" locked="0" layoutInCell="1" allowOverlap="1" wp14:anchorId="4D6DF3A7" wp14:editId="0E2919F3">
              <wp:simplePos x="0" y="0"/>
              <wp:positionH relativeFrom="page">
                <wp:posOffset>786130</wp:posOffset>
              </wp:positionH>
              <wp:positionV relativeFrom="page">
                <wp:posOffset>9404985</wp:posOffset>
              </wp:positionV>
              <wp:extent cx="1828800" cy="914400"/>
              <wp:effectExtent l="0" t="0" r="0" b="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14400"/>
                      </a:xfrm>
                      <a:prstGeom prst="rect">
                        <a:avLst/>
                      </a:prstGeom>
                      <a:solidFill>
                        <a:srgbClr val="FFFFFF"/>
                      </a:solidFill>
                      <a:ln w="12700" cap="flat">
                        <a:noFill/>
                        <a:miter lim="400000"/>
                      </a:ln>
                      <a:effectLst/>
                    </wps:spPr>
                    <wps:txbx>
                      <w:txbxContent>
                        <w:p w14:paraId="5E87B24A" w14:textId="77777777" w:rsidR="00B73E31" w:rsidRDefault="00B73E31" w:rsidP="00E0054B">
                          <w:pPr>
                            <w:rPr>
                              <w:sz w:val="15"/>
                              <w:szCs w:val="15"/>
                            </w:rPr>
                          </w:pPr>
                          <w:r>
                            <w:rPr>
                              <w:sz w:val="15"/>
                              <w:szCs w:val="15"/>
                            </w:rPr>
                            <w:t>Allianz SE</w:t>
                          </w:r>
                        </w:p>
                        <w:p w14:paraId="16CFA810" w14:textId="77777777" w:rsidR="00B73E31" w:rsidRDefault="00B73E31" w:rsidP="00E0054B">
                          <w:pPr>
                            <w:rPr>
                              <w:sz w:val="15"/>
                              <w:szCs w:val="15"/>
                            </w:rPr>
                          </w:pPr>
                          <w:r>
                            <w:rPr>
                              <w:sz w:val="15"/>
                              <w:szCs w:val="15"/>
                            </w:rPr>
                            <w:t>Koeniginstr.28</w:t>
                          </w:r>
                        </w:p>
                        <w:p w14:paraId="376F25DC" w14:textId="77777777" w:rsidR="00B73E31" w:rsidRDefault="00B73E31" w:rsidP="00E0054B">
                          <w:pPr>
                            <w:rPr>
                              <w:sz w:val="15"/>
                              <w:szCs w:val="15"/>
                            </w:rPr>
                          </w:pPr>
                          <w:r>
                            <w:rPr>
                              <w:sz w:val="15"/>
                              <w:szCs w:val="15"/>
                            </w:rPr>
                            <w:t>80802 Munich; Germany</w:t>
                          </w:r>
                        </w:p>
                        <w:p w14:paraId="3E0C3DAB" w14:textId="77777777" w:rsidR="00B73E31" w:rsidRDefault="00B73E31" w:rsidP="00E0054B">
                          <w:pPr>
                            <w:rPr>
                              <w:sz w:val="15"/>
                              <w:szCs w:val="15"/>
                            </w:rPr>
                          </w:pPr>
                          <w:r>
                            <w:rPr>
                              <w:sz w:val="15"/>
                              <w:szCs w:val="15"/>
                            </w:rPr>
                            <w:t>Phone: +49.89.3800.18475</w:t>
                          </w:r>
                        </w:p>
                        <w:p w14:paraId="76A68D4E" w14:textId="77777777" w:rsidR="00B73E31" w:rsidRDefault="00B73E31" w:rsidP="00E0054B">
                          <w:pPr>
                            <w:rPr>
                              <w:sz w:val="15"/>
                              <w:szCs w:val="15"/>
                            </w:rPr>
                          </w:pPr>
                          <w:r>
                            <w:rPr>
                              <w:sz w:val="15"/>
                              <w:szCs w:val="15"/>
                            </w:rPr>
                            <w:t>Fax: +49.89.3800.2114</w:t>
                          </w:r>
                        </w:p>
                        <w:p w14:paraId="6E87CE69" w14:textId="77777777" w:rsidR="00B73E31" w:rsidRDefault="00B73E31" w:rsidP="00E0054B">
                          <w:pPr>
                            <w:rPr>
                              <w:rStyle w:val="Nmerodepgina"/>
                            </w:rPr>
                          </w:pPr>
                          <w:r>
                            <w:rPr>
                              <w:sz w:val="15"/>
                              <w:szCs w:val="15"/>
                            </w:rPr>
                            <w:t>www.allianz.com/news</w:t>
                          </w:r>
                        </w:p>
                      </w:txbxContent>
                    </wps:txbx>
                    <wps:bodyPr wrap="square" lIns="47625" tIns="47625" rIns="47625" bIns="47625" numCol="1" anchor="t">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D6DF3A7" id="officeArt object" o:spid="_x0000_s1028" style="position:absolute;margin-left:61.9pt;margin-top:740.55pt;width:2in;height:1in;z-index:-25165823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" stroked="f" strokeweight="1pt">
              <v:stroke miterlimit="4"/>
              <v:textbox inset="3.75pt,3.75pt,3.75pt,3.75pt">
                <w:txbxContent>
                  <w:p w14:paraId="5E87B24A" w14:textId="77777777" w:rsidR="00B73E31" w:rsidRDefault="00B73E31" w:rsidP="00E0054B">
                    <w:pPr>
                      <w:rPr>
                        <w:sz w:val="15"/>
                        <w:szCs w:val="15"/>
                      </w:rPr>
                    </w:pPr>
                    <w:r>
                      <w:rPr>
                        <w:sz w:val="15"/>
                        <w:szCs w:val="15"/>
                      </w:rPr>
                      <w:t>Allianz SE</w:t>
                    </w:r>
                  </w:p>
                  <w:p w14:paraId="16CFA810" w14:textId="77777777" w:rsidR="00B73E31" w:rsidRDefault="00B73E31" w:rsidP="00E0054B">
                    <w:pPr>
                      <w:rPr>
                        <w:sz w:val="15"/>
                        <w:szCs w:val="15"/>
                      </w:rPr>
                    </w:pPr>
                    <w:r>
                      <w:rPr>
                        <w:sz w:val="15"/>
                        <w:szCs w:val="15"/>
                      </w:rPr>
                      <w:t>Koeniginstr.28</w:t>
                    </w:r>
                  </w:p>
                  <w:p w14:paraId="376F25DC" w14:textId="77777777" w:rsidR="00B73E31" w:rsidRDefault="00B73E31" w:rsidP="00E0054B">
                    <w:pPr>
                      <w:rPr>
                        <w:sz w:val="15"/>
                        <w:szCs w:val="15"/>
                      </w:rPr>
                    </w:pPr>
                    <w:r>
                      <w:rPr>
                        <w:sz w:val="15"/>
                        <w:szCs w:val="15"/>
                      </w:rPr>
                      <w:t>80802 Munich; Germany</w:t>
                    </w:r>
                  </w:p>
                  <w:p w14:paraId="3E0C3DAB" w14:textId="77777777" w:rsidR="00B73E31" w:rsidRDefault="00B73E31" w:rsidP="00E0054B">
                    <w:pPr>
                      <w:rPr>
                        <w:sz w:val="15"/>
                        <w:szCs w:val="15"/>
                      </w:rPr>
                    </w:pPr>
                    <w:r>
                      <w:rPr>
                        <w:sz w:val="15"/>
                        <w:szCs w:val="15"/>
                      </w:rPr>
                      <w:t>Phone: +49.89.3800.18475</w:t>
                    </w:r>
                  </w:p>
                  <w:p w14:paraId="76A68D4E" w14:textId="77777777" w:rsidR="00B73E31" w:rsidRDefault="00B73E31" w:rsidP="00E0054B">
                    <w:pPr>
                      <w:rPr>
                        <w:sz w:val="15"/>
                        <w:szCs w:val="15"/>
                      </w:rPr>
                    </w:pPr>
                    <w:r>
                      <w:rPr>
                        <w:sz w:val="15"/>
                        <w:szCs w:val="15"/>
                      </w:rPr>
                      <w:t>Fax: +49.89.3800.2114</w:t>
                    </w:r>
                  </w:p>
                  <w:p w14:paraId="6E87CE69" w14:textId="77777777" w:rsidR="00B73E31" w:rsidRDefault="00B73E31" w:rsidP="00E0054B">
                    <w:pPr>
                      <w:rPr>
                        <w:rStyle w:val="Nmerodepgina"/>
                      </w:rPr>
                    </w:pPr>
                    <w:r>
                      <w:rPr>
                        <w:sz w:val="15"/>
                        <w:szCs w:val="15"/>
                      </w:rPr>
                      <w:t>www.allianz.com/news</w:t>
                    </w:r>
                  </w:p>
                </w:txbxContent>
              </v:textbox>
              <w10:wrap anchorx="page" anchory="page"/>
            </v:rect>
          </w:pict>
        </mc:Fallback>
      </mc:AlternateContent>
    </w:r>
    <w:r w:rsidR="00B73E31">
      <w:rPr>
        <w:noProof/>
        <w:lang w:val="es-ES" w:eastAsia="es-ES"/>
      </w:rPr>
      <mc:AlternateContent>
        <mc:Choice Requires="wps">
          <w:drawing>
            <wp:anchor distT="152400" distB="152400" distL="152400" distR="152400" simplePos="0" relativeHeight="251658242" behindDoc="1" locked="0" layoutInCell="1" allowOverlap="1" wp14:anchorId="59D52F4E" wp14:editId="6284ADBB">
              <wp:simplePos x="0" y="0"/>
              <wp:positionH relativeFrom="page">
                <wp:posOffset>3072130</wp:posOffset>
              </wp:positionH>
              <wp:positionV relativeFrom="page">
                <wp:posOffset>9404985</wp:posOffset>
              </wp:positionV>
              <wp:extent cx="4000500" cy="1143000"/>
              <wp:effectExtent l="0" t="0" r="0" b="0"/>
              <wp:wrapNone/>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1143000"/>
                      </a:xfrm>
                      <a:prstGeom prst="rect">
                        <a:avLst/>
                      </a:prstGeom>
                      <a:solidFill>
                        <a:srgbClr val="FFFFFF"/>
                      </a:solidFill>
                      <a:ln w="12700" cap="flat">
                        <a:noFill/>
                        <a:miter lim="400000"/>
                      </a:ln>
                      <a:effectLst/>
                    </wps:spPr>
                    <wps:txbx>
                      <w:txbxContent>
                        <w:p w14:paraId="765CEFBF" w14:textId="4FF12896" w:rsidR="00B73E31" w:rsidRDefault="00B73E31" w:rsidP="00331BF6">
                          <w:pPr>
                            <w:rPr>
                              <w:rStyle w:val="Nmerodepgina"/>
                            </w:rPr>
                          </w:pPr>
                          <w:r w:rsidRPr="00614C5B">
                            <w:rPr>
                              <w:sz w:val="15"/>
                              <w:szCs w:val="15"/>
                              <w:lang w:val="en-GB"/>
                            </w:rPr>
                            <w:t>Chairman</w:t>
                          </w:r>
                          <w:r>
                            <w:rPr>
                              <w:sz w:val="15"/>
                              <w:szCs w:val="15"/>
                              <w:lang w:val="en-GB"/>
                            </w:rPr>
                            <w:t xml:space="preserve"> of the Supervisory Board</w:t>
                          </w:r>
                          <w:r w:rsidRPr="00F86954">
                            <w:rPr>
                              <w:sz w:val="15"/>
                              <w:szCs w:val="15"/>
                              <w:lang w:val="en-US"/>
                            </w:rPr>
                            <w:t>: Michael Diekmann.</w:t>
                          </w:r>
                          <w:r w:rsidRPr="00F86954">
                            <w:rPr>
                              <w:sz w:val="15"/>
                              <w:szCs w:val="15"/>
                              <w:lang w:val="en-US"/>
                            </w:rPr>
                            <w:br/>
                          </w:r>
                          <w:r w:rsidRPr="00614C5B">
                            <w:rPr>
                              <w:sz w:val="15"/>
                              <w:szCs w:val="15"/>
                              <w:lang w:val="en-GB"/>
                            </w:rPr>
                            <w:t>Board of Management</w:t>
                          </w:r>
                          <w:r w:rsidRPr="00F86954">
                            <w:rPr>
                              <w:sz w:val="15"/>
                              <w:szCs w:val="15"/>
                              <w:lang w:val="en-US"/>
                            </w:rPr>
                            <w:t xml:space="preserve">: Oliver Bäte, </w:t>
                          </w:r>
                          <w:r>
                            <w:rPr>
                              <w:sz w:val="15"/>
                              <w:szCs w:val="15"/>
                              <w:lang w:val="en-US"/>
                            </w:rPr>
                            <w:t>Chai</w:t>
                          </w:r>
                          <w:r w:rsidRPr="00F86954">
                            <w:rPr>
                              <w:sz w:val="15"/>
                              <w:szCs w:val="15"/>
                              <w:lang w:val="en-US"/>
                            </w:rPr>
                            <w:t>r</w:t>
                          </w:r>
                          <w:r>
                            <w:rPr>
                              <w:sz w:val="15"/>
                              <w:szCs w:val="15"/>
                              <w:lang w:val="en-US"/>
                            </w:rPr>
                            <w:t>man</w:t>
                          </w:r>
                          <w:r w:rsidRPr="00F86954">
                            <w:rPr>
                              <w:sz w:val="15"/>
                              <w:szCs w:val="15"/>
                              <w:lang w:val="en-US"/>
                            </w:rPr>
                            <w:t xml:space="preserve">; </w:t>
                          </w:r>
                          <w:r w:rsidRPr="00F86954">
                            <w:rPr>
                              <w:sz w:val="15"/>
                              <w:szCs w:val="15"/>
                              <w:lang w:val="en-US"/>
                            </w:rPr>
                            <w:br/>
                            <w:t xml:space="preserve">Sergio Balbinot, Jacqueline Hunt, Dr. Christof Mascher, Niran Peiris, </w:t>
                          </w:r>
                          <w:r>
                            <w:rPr>
                              <w:sz w:val="15"/>
                              <w:szCs w:val="15"/>
                              <w:lang w:val="en-US"/>
                            </w:rPr>
                            <w:t xml:space="preserve">Dr. Klaus-Peter Röhler, </w:t>
                          </w:r>
                          <w:r w:rsidRPr="00F86954">
                            <w:rPr>
                              <w:sz w:val="15"/>
                              <w:szCs w:val="15"/>
                              <w:lang w:val="en-US"/>
                            </w:rPr>
                            <w:t>Iván de la Sota, Giulio Te</w:t>
                          </w:r>
                          <w:r>
                            <w:rPr>
                              <w:sz w:val="15"/>
                              <w:szCs w:val="15"/>
                              <w:lang w:val="en-US"/>
                            </w:rPr>
                            <w:t>rzariol, Dr Günther Thallinger, Renate Wagner (Release 04</w:t>
                          </w:r>
                          <w:r w:rsidRPr="00E0054B">
                            <w:rPr>
                              <w:sz w:val="15"/>
                              <w:szCs w:val="15"/>
                              <w:lang w:val="en-US"/>
                            </w:rPr>
                            <w:t>.2020)</w:t>
                          </w:r>
                          <w:r w:rsidRPr="00F86954">
                            <w:rPr>
                              <w:sz w:val="15"/>
                              <w:szCs w:val="15"/>
                              <w:lang w:val="en-US"/>
                            </w:rPr>
                            <w:t>.</w:t>
                          </w:r>
                          <w:r w:rsidRPr="00F86954">
                            <w:rPr>
                              <w:sz w:val="15"/>
                              <w:szCs w:val="15"/>
                              <w:lang w:val="en-US"/>
                            </w:rPr>
                            <w:br/>
                          </w:r>
                          <w:r w:rsidRPr="00614C5B">
                            <w:rPr>
                              <w:sz w:val="15"/>
                              <w:szCs w:val="15"/>
                              <w:lang w:val="en-GB"/>
                            </w:rPr>
                            <w:t>For VAT-Purposes: VAT-Registration Number: DE 129 274 114; Insurance</w:t>
                          </w:r>
                          <w:r>
                            <w:rPr>
                              <w:sz w:val="15"/>
                              <w:szCs w:val="15"/>
                              <w:lang w:val="en-GB"/>
                            </w:rPr>
                            <w:t xml:space="preserve"> </w:t>
                          </w:r>
                          <w:r w:rsidRPr="00614C5B">
                            <w:rPr>
                              <w:sz w:val="15"/>
                              <w:szCs w:val="15"/>
                              <w:lang w:val="en-GB"/>
                            </w:rPr>
                            <w:t xml:space="preserve">services are exempt from VAT. </w:t>
                          </w:r>
                          <w:r w:rsidRPr="00614C5B">
                            <w:rPr>
                              <w:sz w:val="15"/>
                              <w:szCs w:val="15"/>
                              <w:lang w:val="en-GB"/>
                            </w:rPr>
                            <w:br/>
                          </w:r>
                          <w:r w:rsidRPr="0095518C">
                            <w:rPr>
                              <w:sz w:val="15"/>
                              <w:szCs w:val="15"/>
                              <w:lang w:val="en-GB"/>
                            </w:rPr>
                            <w:t>Allianz SE, Munich, Comm.Reg.: Munich HRB 164232</w:t>
                          </w:r>
                        </w:p>
                        <w:p w14:paraId="66667BBA" w14:textId="77777777" w:rsidR="00B73E31" w:rsidRDefault="00B73E31">
                          <w:pPr>
                            <w:rPr>
                              <w:rStyle w:val="Nmerodepgina"/>
                            </w:rPr>
                          </w:pPr>
                        </w:p>
                      </w:txbxContent>
                    </wps:txbx>
                    <wps:bodyPr wrap="square" lIns="47625" tIns="47625" rIns="47625" bIns="47625" numCol="1" anchor="t">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D52F4E" id="_x0000_s1029" style="position:absolute;margin-left:241.9pt;margin-top:740.55pt;width:315pt;height:90pt;z-index:-25165823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" stroked="f" strokeweight="1pt">
              <v:stroke miterlimit="4"/>
              <v:textbox inset="3.75pt,3.75pt,3.75pt,3.75pt">
                <w:txbxContent>
                  <w:p w14:paraId="765CEFBF" w14:textId="4FF12896" w:rsidR="00B73E31" w:rsidRDefault="00B73E31" w:rsidP="00331BF6">
                    <w:pPr>
                      <w:rPr>
                        <w:rStyle w:val="Nmerodepgina"/>
                      </w:rPr>
                    </w:pPr>
                    <w:r w:rsidRPr="00614C5B">
                      <w:rPr>
                        <w:sz w:val="15"/>
                        <w:szCs w:val="15"/>
                        <w:lang w:val="en-GB"/>
                      </w:rPr>
                      <w:t>Chairman</w:t>
                    </w:r>
                    <w:r>
                      <w:rPr>
                        <w:sz w:val="15"/>
                        <w:szCs w:val="15"/>
                        <w:lang w:val="en-GB"/>
                      </w:rPr>
                      <w:t xml:space="preserve"> of the Supervisory Board</w:t>
                    </w:r>
                    <w:r w:rsidRPr="00F86954">
                      <w:rPr>
                        <w:sz w:val="15"/>
                        <w:szCs w:val="15"/>
                        <w:lang w:val="en-US"/>
                      </w:rPr>
                      <w:t xml:space="preserve">: Michael </w:t>
                    </w:r>
                    <w:proofErr w:type="spellStart"/>
                    <w:r w:rsidRPr="00F86954">
                      <w:rPr>
                        <w:sz w:val="15"/>
                        <w:szCs w:val="15"/>
                        <w:lang w:val="en-US"/>
                      </w:rPr>
                      <w:t>Diekmann</w:t>
                    </w:r>
                    <w:proofErr w:type="spellEnd"/>
                    <w:r w:rsidRPr="00F86954">
                      <w:rPr>
                        <w:sz w:val="15"/>
                        <w:szCs w:val="15"/>
                        <w:lang w:val="en-US"/>
                      </w:rPr>
                      <w:t>.</w:t>
                    </w:r>
                    <w:r w:rsidRPr="00F86954">
                      <w:rPr>
                        <w:sz w:val="15"/>
                        <w:szCs w:val="15"/>
                        <w:lang w:val="en-US"/>
                      </w:rPr>
                      <w:br/>
                    </w:r>
                    <w:r w:rsidRPr="00614C5B">
                      <w:rPr>
                        <w:sz w:val="15"/>
                        <w:szCs w:val="15"/>
                        <w:lang w:val="en-GB"/>
                      </w:rPr>
                      <w:t>Board of Management</w:t>
                    </w:r>
                    <w:r w:rsidRPr="00F86954">
                      <w:rPr>
                        <w:sz w:val="15"/>
                        <w:szCs w:val="15"/>
                        <w:lang w:val="en-US"/>
                      </w:rPr>
                      <w:t xml:space="preserve">: Oliver </w:t>
                    </w:r>
                    <w:proofErr w:type="spellStart"/>
                    <w:r w:rsidRPr="00F86954">
                      <w:rPr>
                        <w:sz w:val="15"/>
                        <w:szCs w:val="15"/>
                        <w:lang w:val="en-US"/>
                      </w:rPr>
                      <w:t>Bäte</w:t>
                    </w:r>
                    <w:proofErr w:type="spellEnd"/>
                    <w:r w:rsidRPr="00F86954">
                      <w:rPr>
                        <w:sz w:val="15"/>
                        <w:szCs w:val="15"/>
                        <w:lang w:val="en-US"/>
                      </w:rPr>
                      <w:t xml:space="preserve">, </w:t>
                    </w:r>
                    <w:r>
                      <w:rPr>
                        <w:sz w:val="15"/>
                        <w:szCs w:val="15"/>
                        <w:lang w:val="en-US"/>
                      </w:rPr>
                      <w:t>Chai</w:t>
                    </w:r>
                    <w:r w:rsidRPr="00F86954">
                      <w:rPr>
                        <w:sz w:val="15"/>
                        <w:szCs w:val="15"/>
                        <w:lang w:val="en-US"/>
                      </w:rPr>
                      <w:t>r</w:t>
                    </w:r>
                    <w:r>
                      <w:rPr>
                        <w:sz w:val="15"/>
                        <w:szCs w:val="15"/>
                        <w:lang w:val="en-US"/>
                      </w:rPr>
                      <w:t>man</w:t>
                    </w:r>
                    <w:r w:rsidRPr="00F86954">
                      <w:rPr>
                        <w:sz w:val="15"/>
                        <w:szCs w:val="15"/>
                        <w:lang w:val="en-US"/>
                      </w:rPr>
                      <w:t xml:space="preserve">; </w:t>
                    </w:r>
                    <w:r w:rsidRPr="00F86954">
                      <w:rPr>
                        <w:sz w:val="15"/>
                        <w:szCs w:val="15"/>
                        <w:lang w:val="en-US"/>
                      </w:rPr>
                      <w:br/>
                      <w:t xml:space="preserve">Sergio </w:t>
                    </w:r>
                    <w:proofErr w:type="spellStart"/>
                    <w:r w:rsidRPr="00F86954">
                      <w:rPr>
                        <w:sz w:val="15"/>
                        <w:szCs w:val="15"/>
                        <w:lang w:val="en-US"/>
                      </w:rPr>
                      <w:t>Balbinot</w:t>
                    </w:r>
                    <w:proofErr w:type="spellEnd"/>
                    <w:r w:rsidRPr="00F86954">
                      <w:rPr>
                        <w:sz w:val="15"/>
                        <w:szCs w:val="15"/>
                        <w:lang w:val="en-US"/>
                      </w:rPr>
                      <w:t xml:space="preserve">, Jacqueline Hunt, Dr. Christof </w:t>
                    </w:r>
                    <w:proofErr w:type="spellStart"/>
                    <w:r w:rsidRPr="00F86954">
                      <w:rPr>
                        <w:sz w:val="15"/>
                        <w:szCs w:val="15"/>
                        <w:lang w:val="en-US"/>
                      </w:rPr>
                      <w:t>Mascher</w:t>
                    </w:r>
                    <w:proofErr w:type="spellEnd"/>
                    <w:r w:rsidRPr="00F86954">
                      <w:rPr>
                        <w:sz w:val="15"/>
                        <w:szCs w:val="15"/>
                        <w:lang w:val="en-US"/>
                      </w:rPr>
                      <w:t xml:space="preserve">, </w:t>
                    </w:r>
                    <w:proofErr w:type="spellStart"/>
                    <w:r w:rsidRPr="00F86954">
                      <w:rPr>
                        <w:sz w:val="15"/>
                        <w:szCs w:val="15"/>
                        <w:lang w:val="en-US"/>
                      </w:rPr>
                      <w:t>Niran</w:t>
                    </w:r>
                    <w:proofErr w:type="spellEnd"/>
                    <w:r w:rsidRPr="00F86954">
                      <w:rPr>
                        <w:sz w:val="15"/>
                        <w:szCs w:val="15"/>
                        <w:lang w:val="en-US"/>
                      </w:rPr>
                      <w:t xml:space="preserve"> Peiris, </w:t>
                    </w:r>
                    <w:r>
                      <w:rPr>
                        <w:sz w:val="15"/>
                        <w:szCs w:val="15"/>
                        <w:lang w:val="en-US"/>
                      </w:rPr>
                      <w:t xml:space="preserve">Dr. Klaus-Peter </w:t>
                    </w:r>
                    <w:proofErr w:type="spellStart"/>
                    <w:r>
                      <w:rPr>
                        <w:sz w:val="15"/>
                        <w:szCs w:val="15"/>
                        <w:lang w:val="en-US"/>
                      </w:rPr>
                      <w:t>Röhler</w:t>
                    </w:r>
                    <w:proofErr w:type="spellEnd"/>
                    <w:r>
                      <w:rPr>
                        <w:sz w:val="15"/>
                        <w:szCs w:val="15"/>
                        <w:lang w:val="en-US"/>
                      </w:rPr>
                      <w:t xml:space="preserve">, </w:t>
                    </w:r>
                    <w:r w:rsidRPr="00F86954">
                      <w:rPr>
                        <w:sz w:val="15"/>
                        <w:szCs w:val="15"/>
                        <w:lang w:val="en-US"/>
                      </w:rPr>
                      <w:t xml:space="preserve">Iván de la Sota, Giulio </w:t>
                    </w:r>
                    <w:proofErr w:type="spellStart"/>
                    <w:r w:rsidRPr="00F86954">
                      <w:rPr>
                        <w:sz w:val="15"/>
                        <w:szCs w:val="15"/>
                        <w:lang w:val="en-US"/>
                      </w:rPr>
                      <w:t>Te</w:t>
                    </w:r>
                    <w:r>
                      <w:rPr>
                        <w:sz w:val="15"/>
                        <w:szCs w:val="15"/>
                        <w:lang w:val="en-US"/>
                      </w:rPr>
                      <w:t>rzariol</w:t>
                    </w:r>
                    <w:proofErr w:type="spellEnd"/>
                    <w:r>
                      <w:rPr>
                        <w:sz w:val="15"/>
                        <w:szCs w:val="15"/>
                        <w:lang w:val="en-US"/>
                      </w:rPr>
                      <w:t xml:space="preserve">, Dr Günther </w:t>
                    </w:r>
                    <w:proofErr w:type="spellStart"/>
                    <w:r>
                      <w:rPr>
                        <w:sz w:val="15"/>
                        <w:szCs w:val="15"/>
                        <w:lang w:val="en-US"/>
                      </w:rPr>
                      <w:t>Thallinger</w:t>
                    </w:r>
                    <w:proofErr w:type="spellEnd"/>
                    <w:r>
                      <w:rPr>
                        <w:sz w:val="15"/>
                        <w:szCs w:val="15"/>
                        <w:lang w:val="en-US"/>
                      </w:rPr>
                      <w:t>, Renate Wagner (Release 04</w:t>
                    </w:r>
                    <w:r w:rsidRPr="00E0054B">
                      <w:rPr>
                        <w:sz w:val="15"/>
                        <w:szCs w:val="15"/>
                        <w:lang w:val="en-US"/>
                      </w:rPr>
                      <w:t>.2020)</w:t>
                    </w:r>
                    <w:r w:rsidRPr="00F86954">
                      <w:rPr>
                        <w:sz w:val="15"/>
                        <w:szCs w:val="15"/>
                        <w:lang w:val="en-US"/>
                      </w:rPr>
                      <w:t>.</w:t>
                    </w:r>
                    <w:r w:rsidRPr="00F86954">
                      <w:rPr>
                        <w:sz w:val="15"/>
                        <w:szCs w:val="15"/>
                        <w:lang w:val="en-US"/>
                      </w:rPr>
                      <w:br/>
                    </w:r>
                    <w:r w:rsidRPr="00614C5B">
                      <w:rPr>
                        <w:sz w:val="15"/>
                        <w:szCs w:val="15"/>
                        <w:lang w:val="en-GB"/>
                      </w:rPr>
                      <w:t>For VAT-Purposes: VAT-Registration Number: DE 129 274 114; Insurance</w:t>
                    </w:r>
                    <w:r>
                      <w:rPr>
                        <w:sz w:val="15"/>
                        <w:szCs w:val="15"/>
                        <w:lang w:val="en-GB"/>
                      </w:rPr>
                      <w:t xml:space="preserve"> </w:t>
                    </w:r>
                    <w:r w:rsidRPr="00614C5B">
                      <w:rPr>
                        <w:sz w:val="15"/>
                        <w:szCs w:val="15"/>
                        <w:lang w:val="en-GB"/>
                      </w:rPr>
                      <w:t xml:space="preserve">services are exempt from VAT. </w:t>
                    </w:r>
                    <w:r w:rsidRPr="00614C5B">
                      <w:rPr>
                        <w:sz w:val="15"/>
                        <w:szCs w:val="15"/>
                        <w:lang w:val="en-GB"/>
                      </w:rPr>
                      <w:br/>
                    </w:r>
                    <w:r w:rsidRPr="0095518C">
                      <w:rPr>
                        <w:sz w:val="15"/>
                        <w:szCs w:val="15"/>
                        <w:lang w:val="en-GB"/>
                      </w:rPr>
                      <w:t xml:space="preserve">Allianz SE, Munich, </w:t>
                    </w:r>
                    <w:proofErr w:type="spellStart"/>
                    <w:r w:rsidRPr="0095518C">
                      <w:rPr>
                        <w:sz w:val="15"/>
                        <w:szCs w:val="15"/>
                        <w:lang w:val="en-GB"/>
                      </w:rPr>
                      <w:t>Comm.Reg</w:t>
                    </w:r>
                    <w:proofErr w:type="spellEnd"/>
                    <w:r w:rsidRPr="0095518C">
                      <w:rPr>
                        <w:sz w:val="15"/>
                        <w:szCs w:val="15"/>
                        <w:lang w:val="en-GB"/>
                      </w:rPr>
                      <w:t>.: Munich HRB 164232</w:t>
                    </w:r>
                  </w:p>
                  <w:p w14:paraId="66667BBA" w14:textId="77777777" w:rsidR="00B73E31" w:rsidRDefault="00B73E31">
                    <w:pPr>
                      <w:rPr>
                        <w:rStyle w:val="Nmerodepgina"/>
                      </w:rPr>
                    </w:pPr>
                  </w:p>
                </w:txbxContent>
              </v:textbox>
              <w10:wrap anchorx="page" anchory="page"/>
            </v:rect>
          </w:pict>
        </mc:Fallback>
      </mc:AlternateContent>
    </w:r>
  </w:p>
  <w:p w14:paraId="40A1134D" w14:textId="77777777" w:rsidR="00B73E31" w:rsidRPr="00B73E31" w:rsidRDefault="00B73E31">
    <w:pPr>
      <w:pStyle w:val="Arial14"/>
      <w:rPr>
        <w:lang w:val="fr-FR"/>
      </w:rPr>
    </w:pPr>
    <w:r w:rsidRPr="00B73E31">
      <w:rPr>
        <w:lang w:val="fr-FR"/>
      </w:rPr>
      <w:t>Allianz SE</w:t>
    </w:r>
  </w:p>
  <w:p w14:paraId="7E6E3B00" w14:textId="77777777" w:rsidR="00B73E31" w:rsidRPr="00B73E31" w:rsidRDefault="00B73E31">
    <w:pPr>
      <w:pStyle w:val="Encabezado"/>
      <w:tabs>
        <w:tab w:val="clear" w:pos="9072"/>
        <w:tab w:val="right" w:pos="9044"/>
      </w:tabs>
      <w:rPr>
        <w:sz w:val="10"/>
        <w:szCs w:val="10"/>
        <w:lang w:val="fr-FR"/>
      </w:rPr>
    </w:pPr>
  </w:p>
  <w:p w14:paraId="65DA5A85" w14:textId="77777777" w:rsidR="00B73E31" w:rsidRPr="00B73E31" w:rsidRDefault="00B73E31">
    <w:pPr>
      <w:pStyle w:val="Encabezado"/>
      <w:tabs>
        <w:tab w:val="clear" w:pos="9072"/>
        <w:tab w:val="right" w:pos="9044"/>
      </w:tabs>
      <w:rPr>
        <w:rStyle w:val="Nmerodepgina"/>
        <w:lang w:val="fr-FR"/>
      </w:rPr>
    </w:pPr>
    <w:r w:rsidRPr="00B73E31">
      <w:rPr>
        <w:rStyle w:val="Nmerodepgina"/>
        <w:sz w:val="20"/>
        <w:szCs w:val="20"/>
        <w:lang w:val="fr-FR"/>
      </w:rPr>
      <w:t>Group Communications</w:t>
    </w:r>
  </w:p>
  <w:p w14:paraId="04CF9356" w14:textId="77777777" w:rsidR="00B73E31" w:rsidRPr="00B73E31" w:rsidRDefault="00B73E31">
    <w:pPr>
      <w:pStyle w:val="Encabezado"/>
      <w:tabs>
        <w:tab w:val="clear" w:pos="9072"/>
        <w:tab w:val="right" w:pos="9044"/>
      </w:tabs>
      <w:rPr>
        <w:sz w:val="48"/>
        <w:szCs w:val="48"/>
        <w:lang w:val="fr-FR"/>
      </w:rPr>
    </w:pPr>
  </w:p>
  <w:p w14:paraId="2A53F6C0" w14:textId="16B15316" w:rsidR="00B73E31" w:rsidRPr="00B73E31" w:rsidRDefault="00B73E31" w:rsidP="00E0054B">
    <w:pPr>
      <w:pStyle w:val="Encabezado"/>
      <w:tabs>
        <w:tab w:val="clear" w:pos="9072"/>
        <w:tab w:val="right" w:pos="9044"/>
      </w:tabs>
      <w:rPr>
        <w:rStyle w:val="Nmerodepgina"/>
        <w:lang w:val="fr-FR"/>
      </w:rPr>
    </w:pPr>
    <w:r w:rsidRPr="00B73E31">
      <w:rPr>
        <w:rStyle w:val="Nmerodepgina"/>
        <w:color w:val="7F7F7F"/>
        <w:sz w:val="78"/>
        <w:szCs w:val="78"/>
        <w:u w:color="7F7F7F"/>
        <w:lang w:val="fr-FR"/>
      </w:rPr>
      <w:t>Comunicado de Prensa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7130"/>
    <w:multiLevelType w:val="hybridMultilevel"/>
    <w:tmpl w:val="3E6E6AB0"/>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1D04C0"/>
    <w:multiLevelType w:val="hybridMultilevel"/>
    <w:tmpl w:val="EF22AB92"/>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C506A"/>
    <w:multiLevelType w:val="hybridMultilevel"/>
    <w:tmpl w:val="908E2366"/>
    <w:numStyleLink w:val="ImportierterStil1"/>
  </w:abstractNum>
  <w:abstractNum w:abstractNumId="3" w15:restartNumberingAfterBreak="0">
    <w:nsid w:val="2DB70CDE"/>
    <w:multiLevelType w:val="hybridMultilevel"/>
    <w:tmpl w:val="BACCC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5219F7"/>
    <w:multiLevelType w:val="hybridMultilevel"/>
    <w:tmpl w:val="7C3CB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07A3D2E"/>
    <w:multiLevelType w:val="hybridMultilevel"/>
    <w:tmpl w:val="908E2366"/>
    <w:styleLink w:val="ImportierterStil1"/>
    <w:lvl w:ilvl="0" w:tplc="8AE2914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EB8B97E">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2A44488">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9350C9B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7C2AD4">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7A1850DA">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F22DFF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ECC122">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646FC70">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B2"/>
    <w:rsid w:val="00002B60"/>
    <w:rsid w:val="0000348C"/>
    <w:rsid w:val="00014369"/>
    <w:rsid w:val="0001552B"/>
    <w:rsid w:val="000215D6"/>
    <w:rsid w:val="00021E24"/>
    <w:rsid w:val="00035535"/>
    <w:rsid w:val="00041ED5"/>
    <w:rsid w:val="00044210"/>
    <w:rsid w:val="0005085C"/>
    <w:rsid w:val="00050949"/>
    <w:rsid w:val="000533BF"/>
    <w:rsid w:val="000547E1"/>
    <w:rsid w:val="00054D18"/>
    <w:rsid w:val="000656C1"/>
    <w:rsid w:val="00067EEE"/>
    <w:rsid w:val="00080103"/>
    <w:rsid w:val="0009504A"/>
    <w:rsid w:val="000A0316"/>
    <w:rsid w:val="000A1E70"/>
    <w:rsid w:val="000A3051"/>
    <w:rsid w:val="000A7703"/>
    <w:rsid w:val="000B4145"/>
    <w:rsid w:val="000B5F0B"/>
    <w:rsid w:val="000D5FF6"/>
    <w:rsid w:val="000F0CC4"/>
    <w:rsid w:val="00107273"/>
    <w:rsid w:val="00112F5B"/>
    <w:rsid w:val="00120394"/>
    <w:rsid w:val="00121C3E"/>
    <w:rsid w:val="00124AC9"/>
    <w:rsid w:val="001411A3"/>
    <w:rsid w:val="001428EB"/>
    <w:rsid w:val="00143CEB"/>
    <w:rsid w:val="00144E5F"/>
    <w:rsid w:val="00147CAA"/>
    <w:rsid w:val="00152192"/>
    <w:rsid w:val="00166DFD"/>
    <w:rsid w:val="0017721A"/>
    <w:rsid w:val="0018365E"/>
    <w:rsid w:val="00185392"/>
    <w:rsid w:val="00187C5D"/>
    <w:rsid w:val="001946F4"/>
    <w:rsid w:val="00195894"/>
    <w:rsid w:val="001A4945"/>
    <w:rsid w:val="001B3739"/>
    <w:rsid w:val="001B3777"/>
    <w:rsid w:val="001C4C8E"/>
    <w:rsid w:val="001C652D"/>
    <w:rsid w:val="001D2814"/>
    <w:rsid w:val="001D3C8D"/>
    <w:rsid w:val="001D6F3F"/>
    <w:rsid w:val="001E1597"/>
    <w:rsid w:val="001F3389"/>
    <w:rsid w:val="001F40CE"/>
    <w:rsid w:val="001F63AE"/>
    <w:rsid w:val="002035EF"/>
    <w:rsid w:val="00204E48"/>
    <w:rsid w:val="00212D8A"/>
    <w:rsid w:val="00220599"/>
    <w:rsid w:val="00222212"/>
    <w:rsid w:val="002305E8"/>
    <w:rsid w:val="00234836"/>
    <w:rsid w:val="0023696B"/>
    <w:rsid w:val="00240E17"/>
    <w:rsid w:val="002425D9"/>
    <w:rsid w:val="00252153"/>
    <w:rsid w:val="002620DB"/>
    <w:rsid w:val="0026409F"/>
    <w:rsid w:val="00267247"/>
    <w:rsid w:val="002678CE"/>
    <w:rsid w:val="00270583"/>
    <w:rsid w:val="002755B3"/>
    <w:rsid w:val="00284110"/>
    <w:rsid w:val="00286B83"/>
    <w:rsid w:val="00287E65"/>
    <w:rsid w:val="00291D82"/>
    <w:rsid w:val="0029328D"/>
    <w:rsid w:val="002A0B44"/>
    <w:rsid w:val="002A6AE4"/>
    <w:rsid w:val="002C6C77"/>
    <w:rsid w:val="002D14D9"/>
    <w:rsid w:val="002D2F12"/>
    <w:rsid w:val="002D62F6"/>
    <w:rsid w:val="002F6F0C"/>
    <w:rsid w:val="00300539"/>
    <w:rsid w:val="00305CBB"/>
    <w:rsid w:val="00314893"/>
    <w:rsid w:val="00317ED9"/>
    <w:rsid w:val="00324987"/>
    <w:rsid w:val="003301D7"/>
    <w:rsid w:val="00331BF6"/>
    <w:rsid w:val="00335369"/>
    <w:rsid w:val="003365DD"/>
    <w:rsid w:val="003422BE"/>
    <w:rsid w:val="00342B5F"/>
    <w:rsid w:val="003508EC"/>
    <w:rsid w:val="003639C2"/>
    <w:rsid w:val="00364771"/>
    <w:rsid w:val="00371050"/>
    <w:rsid w:val="00372214"/>
    <w:rsid w:val="00374859"/>
    <w:rsid w:val="00381ADA"/>
    <w:rsid w:val="0038388C"/>
    <w:rsid w:val="00392804"/>
    <w:rsid w:val="0039347F"/>
    <w:rsid w:val="003958EF"/>
    <w:rsid w:val="00396B98"/>
    <w:rsid w:val="003B75BE"/>
    <w:rsid w:val="003C57C2"/>
    <w:rsid w:val="003C6260"/>
    <w:rsid w:val="003D2BB6"/>
    <w:rsid w:val="003D4038"/>
    <w:rsid w:val="003D4432"/>
    <w:rsid w:val="003E0839"/>
    <w:rsid w:val="003E1485"/>
    <w:rsid w:val="003E7C2E"/>
    <w:rsid w:val="003F2F9C"/>
    <w:rsid w:val="003F406B"/>
    <w:rsid w:val="003F55CC"/>
    <w:rsid w:val="0040051D"/>
    <w:rsid w:val="0040397B"/>
    <w:rsid w:val="0043214A"/>
    <w:rsid w:val="00435536"/>
    <w:rsid w:val="00440588"/>
    <w:rsid w:val="004419C7"/>
    <w:rsid w:val="0045559F"/>
    <w:rsid w:val="00463EFC"/>
    <w:rsid w:val="00465473"/>
    <w:rsid w:val="004672E9"/>
    <w:rsid w:val="0047304A"/>
    <w:rsid w:val="00475186"/>
    <w:rsid w:val="004808A9"/>
    <w:rsid w:val="00482309"/>
    <w:rsid w:val="004859F0"/>
    <w:rsid w:val="0049278D"/>
    <w:rsid w:val="0049507E"/>
    <w:rsid w:val="004A6360"/>
    <w:rsid w:val="004B3068"/>
    <w:rsid w:val="004D0741"/>
    <w:rsid w:val="004D6E13"/>
    <w:rsid w:val="004E3EC4"/>
    <w:rsid w:val="004E513A"/>
    <w:rsid w:val="004F265C"/>
    <w:rsid w:val="004F4AC7"/>
    <w:rsid w:val="004F62DA"/>
    <w:rsid w:val="0050229D"/>
    <w:rsid w:val="0050757F"/>
    <w:rsid w:val="00510AED"/>
    <w:rsid w:val="00515C28"/>
    <w:rsid w:val="00516896"/>
    <w:rsid w:val="0052588C"/>
    <w:rsid w:val="00526198"/>
    <w:rsid w:val="005263B6"/>
    <w:rsid w:val="005352BA"/>
    <w:rsid w:val="0054213D"/>
    <w:rsid w:val="00544CB1"/>
    <w:rsid w:val="00544D06"/>
    <w:rsid w:val="00546B60"/>
    <w:rsid w:val="00547B47"/>
    <w:rsid w:val="00552671"/>
    <w:rsid w:val="00557D4D"/>
    <w:rsid w:val="00560B7E"/>
    <w:rsid w:val="0056106F"/>
    <w:rsid w:val="005753DE"/>
    <w:rsid w:val="00580761"/>
    <w:rsid w:val="00591BC4"/>
    <w:rsid w:val="0059427A"/>
    <w:rsid w:val="0059759C"/>
    <w:rsid w:val="005A324C"/>
    <w:rsid w:val="005B0B10"/>
    <w:rsid w:val="005B334A"/>
    <w:rsid w:val="005B7795"/>
    <w:rsid w:val="005C4BFA"/>
    <w:rsid w:val="005C53BF"/>
    <w:rsid w:val="005D1AF8"/>
    <w:rsid w:val="005D5DED"/>
    <w:rsid w:val="005D6425"/>
    <w:rsid w:val="005D6C48"/>
    <w:rsid w:val="005E2C49"/>
    <w:rsid w:val="005E35A2"/>
    <w:rsid w:val="005F07D3"/>
    <w:rsid w:val="00611000"/>
    <w:rsid w:val="006239D9"/>
    <w:rsid w:val="00625887"/>
    <w:rsid w:val="0064505B"/>
    <w:rsid w:val="00646E94"/>
    <w:rsid w:val="00650A06"/>
    <w:rsid w:val="00660600"/>
    <w:rsid w:val="006613FA"/>
    <w:rsid w:val="0066156E"/>
    <w:rsid w:val="00662073"/>
    <w:rsid w:val="006642BD"/>
    <w:rsid w:val="006658D9"/>
    <w:rsid w:val="00666296"/>
    <w:rsid w:val="006703FF"/>
    <w:rsid w:val="00672318"/>
    <w:rsid w:val="00672695"/>
    <w:rsid w:val="00673448"/>
    <w:rsid w:val="006768DA"/>
    <w:rsid w:val="006807B0"/>
    <w:rsid w:val="006A08B2"/>
    <w:rsid w:val="006A0E26"/>
    <w:rsid w:val="006A4275"/>
    <w:rsid w:val="006A6086"/>
    <w:rsid w:val="006A6412"/>
    <w:rsid w:val="006B39EC"/>
    <w:rsid w:val="006C6AE8"/>
    <w:rsid w:val="006D2720"/>
    <w:rsid w:val="006D2C63"/>
    <w:rsid w:val="006E60B0"/>
    <w:rsid w:val="006F3082"/>
    <w:rsid w:val="00700149"/>
    <w:rsid w:val="00703D7E"/>
    <w:rsid w:val="007042D5"/>
    <w:rsid w:val="007044A0"/>
    <w:rsid w:val="00712A12"/>
    <w:rsid w:val="00721865"/>
    <w:rsid w:val="00721E07"/>
    <w:rsid w:val="00721EC3"/>
    <w:rsid w:val="007315CD"/>
    <w:rsid w:val="0073395D"/>
    <w:rsid w:val="00740402"/>
    <w:rsid w:val="007465FA"/>
    <w:rsid w:val="00751EBE"/>
    <w:rsid w:val="00754F03"/>
    <w:rsid w:val="00763569"/>
    <w:rsid w:val="007659AD"/>
    <w:rsid w:val="0077152F"/>
    <w:rsid w:val="00780DF3"/>
    <w:rsid w:val="00781774"/>
    <w:rsid w:val="00781C4D"/>
    <w:rsid w:val="00783DC0"/>
    <w:rsid w:val="00787F2B"/>
    <w:rsid w:val="007B6DE1"/>
    <w:rsid w:val="007B7E0A"/>
    <w:rsid w:val="007C05A9"/>
    <w:rsid w:val="007C16FE"/>
    <w:rsid w:val="007C1BAA"/>
    <w:rsid w:val="007C333A"/>
    <w:rsid w:val="007D0E86"/>
    <w:rsid w:val="007D272C"/>
    <w:rsid w:val="007F296A"/>
    <w:rsid w:val="007F5614"/>
    <w:rsid w:val="00800CD8"/>
    <w:rsid w:val="0080331A"/>
    <w:rsid w:val="00807D25"/>
    <w:rsid w:val="008101B1"/>
    <w:rsid w:val="0081202F"/>
    <w:rsid w:val="00813660"/>
    <w:rsid w:val="008170D1"/>
    <w:rsid w:val="0082525B"/>
    <w:rsid w:val="008353D0"/>
    <w:rsid w:val="00847800"/>
    <w:rsid w:val="00850D01"/>
    <w:rsid w:val="00851A16"/>
    <w:rsid w:val="008571E1"/>
    <w:rsid w:val="00871006"/>
    <w:rsid w:val="008818FA"/>
    <w:rsid w:val="00881D92"/>
    <w:rsid w:val="00894043"/>
    <w:rsid w:val="00895320"/>
    <w:rsid w:val="00895F24"/>
    <w:rsid w:val="00896332"/>
    <w:rsid w:val="008A140D"/>
    <w:rsid w:val="008B37FB"/>
    <w:rsid w:val="008B3AC5"/>
    <w:rsid w:val="008B423F"/>
    <w:rsid w:val="008B7C42"/>
    <w:rsid w:val="008C28C7"/>
    <w:rsid w:val="008C3939"/>
    <w:rsid w:val="008D2B3E"/>
    <w:rsid w:val="008D311D"/>
    <w:rsid w:val="008D3553"/>
    <w:rsid w:val="008D6F0F"/>
    <w:rsid w:val="008D7FA6"/>
    <w:rsid w:val="008E0147"/>
    <w:rsid w:val="008E4CC5"/>
    <w:rsid w:val="008E5C6C"/>
    <w:rsid w:val="008E6D1D"/>
    <w:rsid w:val="008E78E3"/>
    <w:rsid w:val="008F44A1"/>
    <w:rsid w:val="008F7A5A"/>
    <w:rsid w:val="009044A1"/>
    <w:rsid w:val="00911DA4"/>
    <w:rsid w:val="0091610D"/>
    <w:rsid w:val="00926C00"/>
    <w:rsid w:val="0093722E"/>
    <w:rsid w:val="0094125F"/>
    <w:rsid w:val="00944B54"/>
    <w:rsid w:val="0095622C"/>
    <w:rsid w:val="00960B3E"/>
    <w:rsid w:val="009862B0"/>
    <w:rsid w:val="009A0707"/>
    <w:rsid w:val="009A0EE0"/>
    <w:rsid w:val="009A1656"/>
    <w:rsid w:val="009A1F52"/>
    <w:rsid w:val="009A5C57"/>
    <w:rsid w:val="009B285C"/>
    <w:rsid w:val="009B7A9B"/>
    <w:rsid w:val="009D0ADC"/>
    <w:rsid w:val="009E182A"/>
    <w:rsid w:val="009E4D01"/>
    <w:rsid w:val="00A00A94"/>
    <w:rsid w:val="00A00E6D"/>
    <w:rsid w:val="00A11DD4"/>
    <w:rsid w:val="00A21854"/>
    <w:rsid w:val="00A23549"/>
    <w:rsid w:val="00A300EF"/>
    <w:rsid w:val="00A40258"/>
    <w:rsid w:val="00A41F3D"/>
    <w:rsid w:val="00A4357D"/>
    <w:rsid w:val="00A45204"/>
    <w:rsid w:val="00A579DC"/>
    <w:rsid w:val="00A72825"/>
    <w:rsid w:val="00A8503C"/>
    <w:rsid w:val="00A8613E"/>
    <w:rsid w:val="00A87978"/>
    <w:rsid w:val="00A92758"/>
    <w:rsid w:val="00A96694"/>
    <w:rsid w:val="00A97706"/>
    <w:rsid w:val="00AA0CF7"/>
    <w:rsid w:val="00AB0E70"/>
    <w:rsid w:val="00AB1723"/>
    <w:rsid w:val="00AB30BC"/>
    <w:rsid w:val="00AB4E62"/>
    <w:rsid w:val="00AB4F40"/>
    <w:rsid w:val="00AB7582"/>
    <w:rsid w:val="00AB7701"/>
    <w:rsid w:val="00AC2B6E"/>
    <w:rsid w:val="00AC4F37"/>
    <w:rsid w:val="00AC606E"/>
    <w:rsid w:val="00AD1B98"/>
    <w:rsid w:val="00AE4462"/>
    <w:rsid w:val="00AE5FF7"/>
    <w:rsid w:val="00AE704E"/>
    <w:rsid w:val="00AF476C"/>
    <w:rsid w:val="00AF5F8C"/>
    <w:rsid w:val="00AF6BEF"/>
    <w:rsid w:val="00B10199"/>
    <w:rsid w:val="00B13D4A"/>
    <w:rsid w:val="00B21974"/>
    <w:rsid w:val="00B265F9"/>
    <w:rsid w:val="00B41E85"/>
    <w:rsid w:val="00B4696D"/>
    <w:rsid w:val="00B47797"/>
    <w:rsid w:val="00B50FE1"/>
    <w:rsid w:val="00B57524"/>
    <w:rsid w:val="00B63B20"/>
    <w:rsid w:val="00B657AB"/>
    <w:rsid w:val="00B73E31"/>
    <w:rsid w:val="00B76268"/>
    <w:rsid w:val="00B82DC3"/>
    <w:rsid w:val="00B84245"/>
    <w:rsid w:val="00B906D6"/>
    <w:rsid w:val="00B9163A"/>
    <w:rsid w:val="00B97B71"/>
    <w:rsid w:val="00BA2796"/>
    <w:rsid w:val="00BB06A4"/>
    <w:rsid w:val="00BB2DB1"/>
    <w:rsid w:val="00BC0CF1"/>
    <w:rsid w:val="00BC14E9"/>
    <w:rsid w:val="00BC2843"/>
    <w:rsid w:val="00BC3D1D"/>
    <w:rsid w:val="00C027A4"/>
    <w:rsid w:val="00C039E2"/>
    <w:rsid w:val="00C10CB1"/>
    <w:rsid w:val="00C20958"/>
    <w:rsid w:val="00C30BCD"/>
    <w:rsid w:val="00C30DF8"/>
    <w:rsid w:val="00C31D35"/>
    <w:rsid w:val="00C367F7"/>
    <w:rsid w:val="00C45CC1"/>
    <w:rsid w:val="00C47CF0"/>
    <w:rsid w:val="00C537BD"/>
    <w:rsid w:val="00C55E4F"/>
    <w:rsid w:val="00C56B27"/>
    <w:rsid w:val="00C717CD"/>
    <w:rsid w:val="00C81249"/>
    <w:rsid w:val="00C847AF"/>
    <w:rsid w:val="00C973F8"/>
    <w:rsid w:val="00CA6B0D"/>
    <w:rsid w:val="00CB3B6D"/>
    <w:rsid w:val="00CB6107"/>
    <w:rsid w:val="00CC5B0E"/>
    <w:rsid w:val="00CD399C"/>
    <w:rsid w:val="00CD6A8D"/>
    <w:rsid w:val="00CE7819"/>
    <w:rsid w:val="00D0120F"/>
    <w:rsid w:val="00D051A0"/>
    <w:rsid w:val="00D10A40"/>
    <w:rsid w:val="00D35C36"/>
    <w:rsid w:val="00D3693B"/>
    <w:rsid w:val="00D4187E"/>
    <w:rsid w:val="00D43449"/>
    <w:rsid w:val="00D445DB"/>
    <w:rsid w:val="00D54ADB"/>
    <w:rsid w:val="00D56006"/>
    <w:rsid w:val="00D61DAC"/>
    <w:rsid w:val="00D74CEA"/>
    <w:rsid w:val="00D833A6"/>
    <w:rsid w:val="00DA7431"/>
    <w:rsid w:val="00DC0F9C"/>
    <w:rsid w:val="00DC1A85"/>
    <w:rsid w:val="00DC1E8B"/>
    <w:rsid w:val="00DD2C38"/>
    <w:rsid w:val="00DD3222"/>
    <w:rsid w:val="00DD54A7"/>
    <w:rsid w:val="00DF0F34"/>
    <w:rsid w:val="00DF5313"/>
    <w:rsid w:val="00DF5873"/>
    <w:rsid w:val="00E0054B"/>
    <w:rsid w:val="00E16D48"/>
    <w:rsid w:val="00E3377E"/>
    <w:rsid w:val="00E3518E"/>
    <w:rsid w:val="00E43339"/>
    <w:rsid w:val="00E438F7"/>
    <w:rsid w:val="00E46EEB"/>
    <w:rsid w:val="00E471F4"/>
    <w:rsid w:val="00E5229E"/>
    <w:rsid w:val="00E53223"/>
    <w:rsid w:val="00E575E1"/>
    <w:rsid w:val="00E60489"/>
    <w:rsid w:val="00E606E6"/>
    <w:rsid w:val="00E72C25"/>
    <w:rsid w:val="00E84242"/>
    <w:rsid w:val="00E84525"/>
    <w:rsid w:val="00E854D7"/>
    <w:rsid w:val="00E90B94"/>
    <w:rsid w:val="00E91D16"/>
    <w:rsid w:val="00E93183"/>
    <w:rsid w:val="00EA1D21"/>
    <w:rsid w:val="00EA49FB"/>
    <w:rsid w:val="00EC4E10"/>
    <w:rsid w:val="00EE04D6"/>
    <w:rsid w:val="00EE0643"/>
    <w:rsid w:val="00EE1FBE"/>
    <w:rsid w:val="00EE2933"/>
    <w:rsid w:val="00EE4270"/>
    <w:rsid w:val="00EE463D"/>
    <w:rsid w:val="00EE6224"/>
    <w:rsid w:val="00EE73E6"/>
    <w:rsid w:val="00EF0185"/>
    <w:rsid w:val="00F10D2B"/>
    <w:rsid w:val="00F13DCF"/>
    <w:rsid w:val="00F156D9"/>
    <w:rsid w:val="00F161FB"/>
    <w:rsid w:val="00F16BA8"/>
    <w:rsid w:val="00F20A7D"/>
    <w:rsid w:val="00F21233"/>
    <w:rsid w:val="00F2421E"/>
    <w:rsid w:val="00F31F50"/>
    <w:rsid w:val="00F327CC"/>
    <w:rsid w:val="00F36297"/>
    <w:rsid w:val="00F45ED4"/>
    <w:rsid w:val="00F51DB6"/>
    <w:rsid w:val="00F529FF"/>
    <w:rsid w:val="00F545A9"/>
    <w:rsid w:val="00F71B8B"/>
    <w:rsid w:val="00F734C5"/>
    <w:rsid w:val="00F85CAC"/>
    <w:rsid w:val="00F972E7"/>
    <w:rsid w:val="00FA0F2E"/>
    <w:rsid w:val="00FB13EF"/>
    <w:rsid w:val="00FB3064"/>
    <w:rsid w:val="00FB39B8"/>
    <w:rsid w:val="00FD2B5F"/>
    <w:rsid w:val="00FD3F0F"/>
    <w:rsid w:val="00FE3DFF"/>
    <w:rsid w:val="00FE47DE"/>
    <w:rsid w:val="1719B672"/>
    <w:rsid w:val="688EC576"/>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59032"/>
  <w15:docId w15:val="{A33A292A-1649-4545-8911-7830F587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5DED"/>
    <w:rPr>
      <w:rFonts w:ascii="Arial" w:hAnsi="Arial" w:cs="Arial Unicode MS"/>
      <w:color w:val="000000"/>
      <w:sz w:val="22"/>
      <w:szCs w:val="22"/>
      <w:u w:color="000000"/>
      <w:lang w:val="de-DE"/>
    </w:rPr>
  </w:style>
  <w:style w:type="paragraph" w:styleId="Ttulo2">
    <w:name w:val="heading 2"/>
    <w:basedOn w:val="Normal"/>
    <w:next w:val="Normal"/>
    <w:link w:val="Ttulo2Car"/>
    <w:uiPriority w:val="9"/>
    <w:unhideWhenUsed/>
    <w:qFormat/>
    <w:rsid w:val="00240E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next w:val="Normal"/>
    <w:rsid w:val="005D5DED"/>
    <w:pPr>
      <w:keepNext/>
      <w:outlineLvl w:val="3"/>
    </w:pPr>
    <w:rPr>
      <w:rFonts w:ascii="Formata Condensed" w:eastAsia="Formata Condensed" w:hAnsi="Formata Condensed" w:cs="Formata Condensed"/>
      <w:color w:val="C0C0C0"/>
      <w:sz w:val="340"/>
      <w:szCs w:val="340"/>
      <w:u w:color="C0C0C0"/>
      <w:lang w:val="de-D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D5DED"/>
    <w:rPr>
      <w:u w:val="single"/>
    </w:rPr>
  </w:style>
  <w:style w:type="table" w:customStyle="1" w:styleId="TableNormal1">
    <w:name w:val="Table Normal1"/>
    <w:rsid w:val="005D5DED"/>
    <w:tblPr>
      <w:tblInd w:w="0" w:type="dxa"/>
      <w:tblCellMar>
        <w:top w:w="0" w:type="dxa"/>
        <w:left w:w="0" w:type="dxa"/>
        <w:bottom w:w="0" w:type="dxa"/>
        <w:right w:w="0" w:type="dxa"/>
      </w:tblCellMar>
    </w:tblPr>
  </w:style>
  <w:style w:type="paragraph" w:customStyle="1" w:styleId="Kopf-undFuzeilen">
    <w:name w:val="Kopf- und Fußzeilen"/>
    <w:rsid w:val="005D5DED"/>
    <w:pPr>
      <w:tabs>
        <w:tab w:val="right" w:pos="9020"/>
      </w:tabs>
    </w:pPr>
    <w:rPr>
      <w:rFonts w:ascii="Helvetica" w:hAnsi="Helvetica" w:cs="Arial Unicode MS"/>
      <w:color w:val="000000"/>
      <w:sz w:val="24"/>
      <w:szCs w:val="24"/>
    </w:rPr>
  </w:style>
  <w:style w:type="paragraph" w:styleId="Piedepgina">
    <w:name w:val="footer"/>
    <w:rsid w:val="005D5DED"/>
    <w:pPr>
      <w:tabs>
        <w:tab w:val="center" w:pos="4536"/>
        <w:tab w:val="right" w:pos="9072"/>
      </w:tabs>
    </w:pPr>
    <w:rPr>
      <w:rFonts w:ascii="Arial" w:hAnsi="Arial" w:cs="Arial Unicode MS"/>
      <w:color w:val="000000"/>
      <w:sz w:val="22"/>
      <w:szCs w:val="22"/>
      <w:u w:color="000000"/>
      <w:lang w:val="de-DE"/>
    </w:rPr>
  </w:style>
  <w:style w:type="paragraph" w:styleId="Encabezado">
    <w:name w:val="header"/>
    <w:rsid w:val="005D5DED"/>
    <w:pPr>
      <w:tabs>
        <w:tab w:val="center" w:pos="4536"/>
        <w:tab w:val="right" w:pos="9072"/>
      </w:tabs>
    </w:pPr>
    <w:rPr>
      <w:rFonts w:ascii="Arial" w:eastAsia="Arial" w:hAnsi="Arial" w:cs="Arial"/>
      <w:color w:val="000000"/>
      <w:sz w:val="22"/>
      <w:szCs w:val="22"/>
      <w:u w:color="000000"/>
      <w:lang w:val="de-DE"/>
    </w:rPr>
  </w:style>
  <w:style w:type="character" w:styleId="Nmerodepgina">
    <w:name w:val="page number"/>
    <w:rsid w:val="005D5DED"/>
  </w:style>
  <w:style w:type="paragraph" w:customStyle="1" w:styleId="Arial14">
    <w:name w:val="Arial 14"/>
    <w:rsid w:val="005D5DED"/>
    <w:rPr>
      <w:rFonts w:ascii="Arial" w:hAnsi="Arial" w:cs="Arial Unicode MS"/>
      <w:color w:val="000000"/>
      <w:sz w:val="28"/>
      <w:szCs w:val="28"/>
      <w:u w:color="000000"/>
      <w:lang w:val="de-DE"/>
    </w:rPr>
  </w:style>
  <w:style w:type="paragraph" w:customStyle="1" w:styleId="berschrift1PM">
    <w:name w:val="Überschrift 1 PM"/>
    <w:rsid w:val="005D5DED"/>
    <w:pPr>
      <w:keepNext/>
      <w:spacing w:after="450"/>
      <w:outlineLvl w:val="0"/>
    </w:pPr>
    <w:rPr>
      <w:rFonts w:ascii="Arial" w:hAnsi="Arial" w:cs="Arial Unicode MS"/>
      <w:color w:val="000000"/>
      <w:kern w:val="32"/>
      <w:sz w:val="48"/>
      <w:szCs w:val="48"/>
      <w:u w:color="000000"/>
      <w:lang w:val="de-DE"/>
    </w:rPr>
  </w:style>
  <w:style w:type="paragraph" w:customStyle="1" w:styleId="berschrift2PM">
    <w:name w:val="Überschrift 2 PM"/>
    <w:rsid w:val="005D5DED"/>
    <w:pPr>
      <w:keepNext/>
      <w:spacing w:after="270"/>
      <w:outlineLvl w:val="1"/>
    </w:pPr>
    <w:rPr>
      <w:rFonts w:ascii="Arial" w:hAnsi="Arial" w:cs="Arial Unicode MS"/>
      <w:color w:val="000000"/>
      <w:sz w:val="28"/>
      <w:szCs w:val="28"/>
      <w:u w:color="000000"/>
      <w:lang w:val="de-DE"/>
    </w:rPr>
  </w:style>
  <w:style w:type="numbering" w:customStyle="1" w:styleId="ImportierterStil1">
    <w:name w:val="Importierter Stil: 1"/>
    <w:rsid w:val="005D5DED"/>
    <w:pPr>
      <w:numPr>
        <w:numId w:val="1"/>
      </w:numPr>
    </w:pPr>
  </w:style>
  <w:style w:type="paragraph" w:styleId="Textonotapie">
    <w:name w:val="footnote text"/>
    <w:link w:val="TextonotapieCar"/>
    <w:uiPriority w:val="99"/>
    <w:rsid w:val="005D5DED"/>
    <w:rPr>
      <w:rFonts w:ascii="Arial" w:eastAsia="Arial" w:hAnsi="Arial" w:cs="Arial"/>
      <w:color w:val="000000"/>
      <w:u w:color="000000"/>
      <w:lang w:val="de-DE"/>
    </w:rPr>
  </w:style>
  <w:style w:type="character" w:customStyle="1" w:styleId="Hyperlink0">
    <w:name w:val="Hyperlink.0"/>
    <w:basedOn w:val="Hipervnculo"/>
    <w:rsid w:val="005D5DED"/>
    <w:rPr>
      <w:color w:val="0000FF"/>
      <w:u w:val="single" w:color="0000FF"/>
    </w:rPr>
  </w:style>
  <w:style w:type="paragraph" w:customStyle="1" w:styleId="TextPM">
    <w:name w:val="Text PM"/>
    <w:rsid w:val="005D5DED"/>
    <w:pPr>
      <w:spacing w:after="150"/>
    </w:pPr>
    <w:rPr>
      <w:rFonts w:ascii="Arial" w:hAnsi="Arial" w:cs="Arial Unicode MS"/>
      <w:color w:val="000000"/>
      <w:sz w:val="22"/>
      <w:szCs w:val="22"/>
      <w:u w:color="000000"/>
      <w:lang w:val="de-DE"/>
    </w:rPr>
  </w:style>
  <w:style w:type="paragraph" w:styleId="Textodeglobo">
    <w:name w:val="Balloon Text"/>
    <w:basedOn w:val="Normal"/>
    <w:link w:val="TextodegloboCar"/>
    <w:uiPriority w:val="99"/>
    <w:semiHidden/>
    <w:unhideWhenUsed/>
    <w:rsid w:val="00960B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0B3E"/>
    <w:rPr>
      <w:rFonts w:ascii="Segoe UI" w:hAnsi="Segoe UI" w:cs="Segoe UI"/>
      <w:color w:val="000000"/>
      <w:sz w:val="18"/>
      <w:szCs w:val="18"/>
      <w:u w:color="000000"/>
      <w:lang w:val="de-DE"/>
    </w:rPr>
  </w:style>
  <w:style w:type="character" w:customStyle="1" w:styleId="TextonotapieCar">
    <w:name w:val="Texto nota pie Car"/>
    <w:basedOn w:val="Fuentedeprrafopredeter"/>
    <w:link w:val="Textonotapie"/>
    <w:uiPriority w:val="99"/>
    <w:rsid w:val="0081202F"/>
    <w:rPr>
      <w:rFonts w:ascii="Arial" w:eastAsia="Arial" w:hAnsi="Arial" w:cs="Arial"/>
      <w:color w:val="000000"/>
      <w:u w:color="000000"/>
      <w:lang w:val="de-DE"/>
    </w:rPr>
  </w:style>
  <w:style w:type="character" w:styleId="Refdenotaalpie">
    <w:name w:val="footnote reference"/>
    <w:basedOn w:val="Fuentedeprrafopredeter"/>
    <w:uiPriority w:val="99"/>
    <w:unhideWhenUsed/>
    <w:rsid w:val="0081202F"/>
    <w:rPr>
      <w:vertAlign w:val="superscript"/>
    </w:rPr>
  </w:style>
  <w:style w:type="paragraph" w:styleId="Sinespaciado">
    <w:name w:val="No Spacing"/>
    <w:uiPriority w:val="1"/>
    <w:qFormat/>
    <w:rsid w:val="0081202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fr-FR"/>
    </w:rPr>
  </w:style>
  <w:style w:type="paragraph" w:styleId="Prrafodelista">
    <w:name w:val="List Paragraph"/>
    <w:basedOn w:val="Normal"/>
    <w:uiPriority w:val="34"/>
    <w:qFormat/>
    <w:rsid w:val="005D6425"/>
    <w:pPr>
      <w:ind w:left="720"/>
      <w:contextualSpacing/>
    </w:pPr>
  </w:style>
  <w:style w:type="character" w:customStyle="1" w:styleId="Ttulo2Car">
    <w:name w:val="Título 2 Car"/>
    <w:basedOn w:val="Fuentedeprrafopredeter"/>
    <w:link w:val="Ttulo2"/>
    <w:uiPriority w:val="9"/>
    <w:rsid w:val="00240E17"/>
    <w:rPr>
      <w:rFonts w:asciiTheme="majorHAnsi" w:eastAsiaTheme="majorEastAsia" w:hAnsiTheme="majorHAnsi" w:cstheme="majorBidi"/>
      <w:color w:val="365F91" w:themeColor="accent1" w:themeShade="BF"/>
      <w:sz w:val="26"/>
      <w:szCs w:val="26"/>
      <w:u w:color="000000"/>
      <w:lang w:val="de-DE"/>
    </w:rPr>
  </w:style>
  <w:style w:type="table" w:styleId="Tablaconcuadrcula">
    <w:name w:val="Table Grid"/>
    <w:basedOn w:val="Tablanormal"/>
    <w:uiPriority w:val="59"/>
    <w:rsid w:val="005E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5E35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7B6DE1"/>
    <w:rPr>
      <w:sz w:val="16"/>
      <w:szCs w:val="16"/>
    </w:rPr>
  </w:style>
  <w:style w:type="paragraph" w:styleId="Textocomentario">
    <w:name w:val="annotation text"/>
    <w:basedOn w:val="Normal"/>
    <w:link w:val="TextocomentarioCar"/>
    <w:uiPriority w:val="99"/>
    <w:semiHidden/>
    <w:unhideWhenUsed/>
    <w:rsid w:val="007B6DE1"/>
    <w:rPr>
      <w:sz w:val="20"/>
      <w:szCs w:val="20"/>
    </w:rPr>
  </w:style>
  <w:style w:type="character" w:customStyle="1" w:styleId="TextocomentarioCar">
    <w:name w:val="Texto comentario Car"/>
    <w:basedOn w:val="Fuentedeprrafopredeter"/>
    <w:link w:val="Textocomentario"/>
    <w:uiPriority w:val="99"/>
    <w:semiHidden/>
    <w:rsid w:val="007B6DE1"/>
    <w:rPr>
      <w:rFonts w:ascii="Arial" w:hAnsi="Arial" w:cs="Arial Unicode MS"/>
      <w:color w:val="000000"/>
      <w:u w:color="000000"/>
      <w:lang w:val="de-DE"/>
    </w:rPr>
  </w:style>
  <w:style w:type="paragraph" w:styleId="Asuntodelcomentario">
    <w:name w:val="annotation subject"/>
    <w:basedOn w:val="Textocomentario"/>
    <w:next w:val="Textocomentario"/>
    <w:link w:val="AsuntodelcomentarioCar"/>
    <w:uiPriority w:val="99"/>
    <w:semiHidden/>
    <w:unhideWhenUsed/>
    <w:rsid w:val="007B6DE1"/>
    <w:rPr>
      <w:b/>
      <w:bCs/>
    </w:rPr>
  </w:style>
  <w:style w:type="character" w:customStyle="1" w:styleId="AsuntodelcomentarioCar">
    <w:name w:val="Asunto del comentario Car"/>
    <w:basedOn w:val="TextocomentarioCar"/>
    <w:link w:val="Asuntodelcomentario"/>
    <w:uiPriority w:val="99"/>
    <w:semiHidden/>
    <w:rsid w:val="007B6DE1"/>
    <w:rPr>
      <w:rFonts w:ascii="Arial" w:hAnsi="Arial" w:cs="Arial Unicode MS"/>
      <w:b/>
      <w:bCs/>
      <w:color w:val="000000"/>
      <w:u w:color="000000"/>
      <w:lang w:val="de-DE"/>
    </w:rPr>
  </w:style>
  <w:style w:type="table" w:styleId="Sombreadoclaro-nfasis1">
    <w:name w:val="Light Shading Accent 1"/>
    <w:basedOn w:val="Tablanormal"/>
    <w:uiPriority w:val="60"/>
    <w:rsid w:val="0045559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365F91" w:themeColor="accent1" w:themeShade="BF"/>
      <w:bdr w:val="none" w:sz="0" w:space="0" w:color="auto"/>
      <w:lang w:val="de-DE"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visitado">
    <w:name w:val="FollowedHyperlink"/>
    <w:basedOn w:val="Fuentedeprrafopredeter"/>
    <w:uiPriority w:val="99"/>
    <w:semiHidden/>
    <w:unhideWhenUsed/>
    <w:rsid w:val="00475186"/>
    <w:rPr>
      <w:color w:val="FF00FF" w:themeColor="followedHyperlink"/>
      <w:u w:val="single"/>
    </w:rPr>
  </w:style>
  <w:style w:type="table" w:customStyle="1" w:styleId="TableNormal2">
    <w:name w:val="Table Normal2"/>
    <w:rsid w:val="00C973F8"/>
    <w:tblPr>
      <w:tblInd w:w="0" w:type="dxa"/>
      <w:tblCellMar>
        <w:top w:w="0" w:type="dxa"/>
        <w:left w:w="0" w:type="dxa"/>
        <w:bottom w:w="0" w:type="dxa"/>
        <w:right w:w="0" w:type="dxa"/>
      </w:tblCellMar>
    </w:tblPr>
  </w:style>
  <w:style w:type="table" w:customStyle="1" w:styleId="TableNormal21">
    <w:name w:val="Table Normal21"/>
    <w:rsid w:val="006768DA"/>
    <w:tblPr>
      <w:tblInd w:w="0" w:type="dxa"/>
      <w:tblCellMar>
        <w:top w:w="0" w:type="dxa"/>
        <w:left w:w="0" w:type="dxa"/>
        <w:bottom w:w="0" w:type="dxa"/>
        <w:right w:w="0" w:type="dxa"/>
      </w:tblCellMar>
    </w:tblPr>
  </w:style>
  <w:style w:type="character" w:customStyle="1" w:styleId="material-icons-extended">
    <w:name w:val="material-icons-extended"/>
    <w:basedOn w:val="Fuentedeprrafopredeter"/>
    <w:rsid w:val="005D6C48"/>
  </w:style>
  <w:style w:type="character" w:customStyle="1" w:styleId="q4iawc">
    <w:name w:val="q4iawc"/>
    <w:basedOn w:val="Fuentedeprrafopredeter"/>
    <w:rsid w:val="005D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38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com/en/privacy-statemen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41" ma:contentTypeDescription="Contenido no relevante." ma:contentTypeScope="" ma:versionID="fea17986c3d033188deb6382b51066a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e09c6bf60c7f545e71755e816f356ade"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3A751-8CEF-4EB8-ACF2-AAD04EB2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CC6F6-3620-4BD0-BF20-0B92183D60BC}">
  <ds:schemaRefs>
    <ds:schemaRef ds:uri="http://schemas.microsoft.com/sharepoint/v3/contenttype/forms"/>
  </ds:schemaRefs>
</ds:datastoreItem>
</file>

<file path=customXml/itemProps3.xml><?xml version="1.0" encoding="utf-8"?>
<ds:datastoreItem xmlns:ds="http://schemas.openxmlformats.org/officeDocument/2006/customXml" ds:itemID="{C6DB05E4-A274-445C-89EF-DEA69E7ABC2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5361cd-dd21-42bb-ace1-e1b72dd4ac82"/>
    <ds:schemaRef ds:uri="http://schemas.microsoft.com/sharepoint/v3"/>
    <ds:schemaRef ds:uri="http://purl.org/dc/terms/"/>
    <ds:schemaRef ds:uri="9ff07a45-11f5-479e-a441-cd98a86709fe"/>
    <ds:schemaRef ds:uri="http://www.w3.org/XML/1998/namespace"/>
    <ds:schemaRef ds:uri="http://purl.org/dc/dcmitype/"/>
  </ds:schemaRefs>
</ds:datastoreItem>
</file>

<file path=customXml/itemProps4.xml><?xml version="1.0" encoding="utf-8"?>
<ds:datastoreItem xmlns:ds="http://schemas.openxmlformats.org/officeDocument/2006/customXml" ds:itemID="{4419DF91-7B08-438F-885B-A95D41E7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1114</Words>
  <Characters>6127</Characters>
  <Application>Microsoft Office Word</Application>
  <DocSecurity>0</DocSecurity>
  <Lines>51</Lines>
  <Paragraphs>14</Paragraphs>
  <ScaleCrop>false</ScaleCrop>
  <HeadingPairs>
    <vt:vector size="8"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Allianz</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Holzhausen, Dr. Arne (Allianz SE)</dc:creator>
  <cp:keywords/>
  <dc:description/>
  <cp:lastModifiedBy>Rodriguez Mosquera, Sonia</cp:lastModifiedBy>
  <cp:revision>43</cp:revision>
  <dcterms:created xsi:type="dcterms:W3CDTF">2022-10-11T09:37:00Z</dcterms:created>
  <dcterms:modified xsi:type="dcterms:W3CDTF">2022-10-11T16:55:00Z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1092020181337">
    <vt:lpwstr>21092020181337;e006418;0</vt:lpwstr>
  </property>
  <property fmtid="{D5CDD505-2E9C-101B-9397-08002B2CF9AE}" pid="4" name="OfficeDocumentSecurity_21092020184234">
    <vt:lpwstr>21092020184234;e006418;0</vt:lpwstr>
  </property>
  <property fmtid="{D5CDD505-2E9C-101B-9397-08002B2CF9AE}" pid="5" name="OfficeDocumentSecurity_21092020184920">
    <vt:lpwstr>21092020184920;e006418;0</vt:lpwstr>
  </property>
  <property fmtid="{D5CDD505-2E9C-101B-9397-08002B2CF9AE}" pid="6" name="OfficeDocumentSecurity_21092020185000">
    <vt:lpwstr>21092020185000;e006418;0</vt:lpwstr>
  </property>
  <property fmtid="{D5CDD505-2E9C-101B-9397-08002B2CF9AE}" pid="7" name="OfficeDocumentSecurity_22092020174146">
    <vt:lpwstr>22092020174146;e006418;0</vt:lpwstr>
  </property>
  <property fmtid="{D5CDD505-2E9C-101B-9397-08002B2CF9AE}" pid="8" name="OfficeDocumentSecurity_22092020174234">
    <vt:lpwstr>22092020174234;e006418;0</vt:lpwstr>
  </property>
  <property fmtid="{D5CDD505-2E9C-101B-9397-08002B2CF9AE}" pid="9" name="OfficeDocumentSecurity_22092020174302">
    <vt:lpwstr>22092020174302;e006418;0</vt:lpwstr>
  </property>
  <property fmtid="{D5CDD505-2E9C-101B-9397-08002B2CF9AE}" pid="10" name="ContentTypeId">
    <vt:lpwstr>0x010100125D78925D459C4792E0AB097CA57A8700468EE264CD9B964F9956379036DA5620</vt:lpwstr>
  </property>
  <property fmtid="{D5CDD505-2E9C-101B-9397-08002B2CF9AE}" pid="11" name="MSIP_Label_863bc15e-e7bf-41c1-bdb3-03882d8a2e2c_Enabled">
    <vt:lpwstr>true</vt:lpwstr>
  </property>
  <property fmtid="{D5CDD505-2E9C-101B-9397-08002B2CF9AE}" pid="12" name="MSIP_Label_863bc15e-e7bf-41c1-bdb3-03882d8a2e2c_SetDate">
    <vt:lpwstr>2022-10-11T09:36:20Z</vt:lpwstr>
  </property>
  <property fmtid="{D5CDD505-2E9C-101B-9397-08002B2CF9AE}" pid="13" name="MSIP_Label_863bc15e-e7bf-41c1-bdb3-03882d8a2e2c_Method">
    <vt:lpwstr>Privileged</vt:lpwstr>
  </property>
  <property fmtid="{D5CDD505-2E9C-101B-9397-08002B2CF9AE}" pid="14" name="MSIP_Label_863bc15e-e7bf-41c1-bdb3-03882d8a2e2c_Name">
    <vt:lpwstr>863bc15e-e7bf-41c1-bdb3-03882d8a2e2c</vt:lpwstr>
  </property>
  <property fmtid="{D5CDD505-2E9C-101B-9397-08002B2CF9AE}" pid="15" name="MSIP_Label_863bc15e-e7bf-41c1-bdb3-03882d8a2e2c_SiteId">
    <vt:lpwstr>6e06e42d-6925-47c6-b9e7-9581c7ca302a</vt:lpwstr>
  </property>
  <property fmtid="{D5CDD505-2E9C-101B-9397-08002B2CF9AE}" pid="16" name="MSIP_Label_863bc15e-e7bf-41c1-bdb3-03882d8a2e2c_ActionId">
    <vt:lpwstr>3b116e65-2eeb-4e72-bd6e-d5625afa0f45</vt:lpwstr>
  </property>
  <property fmtid="{D5CDD505-2E9C-101B-9397-08002B2CF9AE}" pid="17" name="MSIP_Label_863bc15e-e7bf-41c1-bdb3-03882d8a2e2c_ContentBits">
    <vt:lpwstr>1</vt:lpwstr>
  </property>
  <property fmtid="{D5CDD505-2E9C-101B-9397-08002B2CF9AE}" pid="18" name="MediaServiceImageTags">
    <vt:lpwstr/>
  </property>
</Properties>
</file>