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3066E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644A95DB" w14:textId="19CC4C40" w:rsidR="008C3426" w:rsidRPr="008B658E" w:rsidRDefault="00F163D1" w:rsidP="00A0394D">
      <w:pPr>
        <w:ind w:left="540" w:right="944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DE4F25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dibuja su hoja de ruta junto a </w:t>
      </w:r>
      <w:r w:rsidR="004D37D5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Willis </w:t>
      </w:r>
      <w:proofErr w:type="spellStart"/>
      <w:r w:rsidR="004D37D5">
        <w:rPr>
          <w:rFonts w:ascii="Arial" w:eastAsia="Calibri" w:hAnsi="Arial" w:cs="Arial"/>
          <w:b/>
          <w:bCs/>
          <w:sz w:val="36"/>
          <w:szCs w:val="36"/>
          <w:lang w:eastAsia="en-US"/>
        </w:rPr>
        <w:t>Towers</w:t>
      </w:r>
      <w:proofErr w:type="spellEnd"/>
      <w:r w:rsidR="004D37D5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Watson Networks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50BB8B8C" w14:textId="50B7DADF" w:rsidR="00C93DD4" w:rsidRDefault="00C93DD4" w:rsidP="00C93DD4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El encuentro reunió al </w:t>
      </w:r>
      <w:r w:rsidR="00846D9D">
        <w:rPr>
          <w:rFonts w:ascii="Arial" w:eastAsia="Times New Roman" w:hAnsi="Arial"/>
          <w:b/>
          <w:lang w:val="es-ES_tradnl" w:eastAsia="de-DE"/>
        </w:rPr>
        <w:t>Equipo Directivo</w:t>
      </w:r>
      <w:r>
        <w:rPr>
          <w:rFonts w:ascii="Arial" w:eastAsia="Times New Roman" w:hAnsi="Arial"/>
          <w:b/>
          <w:lang w:val="es-ES_tradnl" w:eastAsia="de-DE"/>
        </w:rPr>
        <w:t xml:space="preserve"> de </w:t>
      </w:r>
      <w:r w:rsidR="004D37D5">
        <w:rPr>
          <w:rFonts w:ascii="Arial" w:eastAsia="Times New Roman" w:hAnsi="Arial"/>
          <w:b/>
          <w:bCs/>
          <w:lang w:eastAsia="de-DE"/>
        </w:rPr>
        <w:t xml:space="preserve">Willis </w:t>
      </w:r>
      <w:proofErr w:type="spellStart"/>
      <w:r w:rsidR="004D37D5">
        <w:rPr>
          <w:rFonts w:ascii="Arial" w:eastAsia="Times New Roman" w:hAnsi="Arial"/>
          <w:b/>
          <w:bCs/>
          <w:lang w:eastAsia="de-DE"/>
        </w:rPr>
        <w:t>Towers</w:t>
      </w:r>
      <w:proofErr w:type="spellEnd"/>
      <w:r w:rsidR="004D37D5">
        <w:rPr>
          <w:rFonts w:ascii="Arial" w:eastAsia="Times New Roman" w:hAnsi="Arial"/>
          <w:b/>
          <w:bCs/>
          <w:lang w:eastAsia="de-DE"/>
        </w:rPr>
        <w:t xml:space="preserve"> Watson Networks</w:t>
      </w:r>
      <w:r w:rsidRPr="00C93DD4">
        <w:rPr>
          <w:rFonts w:ascii="Arial" w:eastAsia="Times New Roman" w:hAnsi="Arial"/>
          <w:b/>
          <w:bCs/>
          <w:lang w:eastAsia="de-DE"/>
        </w:rPr>
        <w:t xml:space="preserve"> </w:t>
      </w:r>
      <w:r w:rsidR="00846D9D">
        <w:rPr>
          <w:rFonts w:ascii="Arial" w:eastAsia="Times New Roman" w:hAnsi="Arial"/>
          <w:b/>
          <w:bCs/>
          <w:lang w:eastAsia="de-DE"/>
        </w:rPr>
        <w:t xml:space="preserve">y sus Asociados </w:t>
      </w:r>
      <w:r w:rsidRPr="00C93DD4">
        <w:rPr>
          <w:rFonts w:ascii="Arial" w:eastAsia="Times New Roman" w:hAnsi="Arial"/>
          <w:b/>
          <w:lang w:val="es-ES_tradnl" w:eastAsia="de-DE"/>
        </w:rPr>
        <w:t>con los máximos ejecutivos del área comercial de Allianz Seguros</w:t>
      </w:r>
      <w:r w:rsidRPr="00C93DD4" w:rsidDel="00C93DD4">
        <w:rPr>
          <w:rFonts w:ascii="Arial" w:eastAsia="Times New Roman" w:hAnsi="Arial"/>
          <w:b/>
          <w:lang w:val="es-ES_tradnl" w:eastAsia="de-DE"/>
        </w:rPr>
        <w:t xml:space="preserve"> </w:t>
      </w:r>
    </w:p>
    <w:p w14:paraId="51BC23FD" w14:textId="10EA696D" w:rsidR="00BA46CF" w:rsidRPr="00BA46CF" w:rsidRDefault="00C93DD4" w:rsidP="00C93DD4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Ambas entidades apuestan por la mejora y el trabajo firme para afrontar este ejercicio</w:t>
      </w:r>
      <w:r w:rsidR="00BA46CF" w:rsidRPr="00BA46CF">
        <w:rPr>
          <w:rFonts w:ascii="Arial" w:eastAsia="Times New Roman" w:hAnsi="Arial"/>
          <w:b/>
          <w:lang w:val="es-ES_tradnl" w:eastAsia="de-DE"/>
        </w:rPr>
        <w:t xml:space="preserve"> 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5A25A9A6" w14:textId="4BBAF310" w:rsidR="000B0641" w:rsidRDefault="00F163D1" w:rsidP="000B064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0B0641">
        <w:rPr>
          <w:rFonts w:ascii="Arial" w:eastAsia="Times New Roman" w:hAnsi="Arial"/>
          <w:b/>
          <w:sz w:val="22"/>
          <w:szCs w:val="22"/>
          <w:lang w:val="es-ES_tradnl" w:eastAsia="de-DE"/>
        </w:rPr>
        <w:t>26</w:t>
      </w:r>
      <w:r w:rsidR="000B0641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0B0641">
        <w:rPr>
          <w:rFonts w:ascii="Arial" w:eastAsia="Times New Roman" w:hAnsi="Arial"/>
          <w:b/>
          <w:sz w:val="22"/>
          <w:szCs w:val="22"/>
          <w:lang w:val="es-ES_tradnl" w:eastAsia="de-DE"/>
        </w:rPr>
        <w:t>marzo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0B0641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0B0641">
        <w:rPr>
          <w:rFonts w:ascii="Arial" w:eastAsia="Times New Roman" w:hAnsi="Arial"/>
          <w:sz w:val="22"/>
          <w:szCs w:val="22"/>
          <w:lang w:val="es-ES_tradnl" w:eastAsia="de-DE"/>
        </w:rPr>
        <w:t xml:space="preserve">Los máximos </w:t>
      </w:r>
      <w:r w:rsidR="00C93DD4">
        <w:rPr>
          <w:rFonts w:ascii="Arial" w:eastAsia="Times New Roman" w:hAnsi="Arial"/>
          <w:sz w:val="22"/>
          <w:szCs w:val="22"/>
          <w:lang w:val="es-ES_tradnl" w:eastAsia="de-DE"/>
        </w:rPr>
        <w:t xml:space="preserve">ejecutivos </w:t>
      </w:r>
      <w:r w:rsidR="000B0641">
        <w:rPr>
          <w:rFonts w:ascii="Arial" w:eastAsia="Times New Roman" w:hAnsi="Arial"/>
          <w:sz w:val="22"/>
          <w:szCs w:val="22"/>
          <w:lang w:val="es-ES_tradnl" w:eastAsia="de-DE"/>
        </w:rPr>
        <w:t xml:space="preserve">del Área Comercial de Allianz Seguros celebraron junto al </w:t>
      </w:r>
      <w:r w:rsidR="004D37D5">
        <w:rPr>
          <w:rFonts w:ascii="Arial" w:eastAsia="Times New Roman" w:hAnsi="Arial"/>
          <w:sz w:val="22"/>
          <w:szCs w:val="22"/>
          <w:lang w:val="es-ES_tradnl" w:eastAsia="de-DE"/>
        </w:rPr>
        <w:t>Equipo Directivo</w:t>
      </w:r>
      <w:r w:rsidR="000B0641">
        <w:rPr>
          <w:rFonts w:ascii="Arial" w:eastAsia="Times New Roman" w:hAnsi="Arial"/>
          <w:sz w:val="22"/>
          <w:szCs w:val="22"/>
          <w:lang w:val="es-ES_tradnl" w:eastAsia="de-DE"/>
        </w:rPr>
        <w:t xml:space="preserve"> de </w:t>
      </w:r>
      <w:r w:rsidR="004D37D5">
        <w:rPr>
          <w:rFonts w:ascii="Arial" w:eastAsia="Times New Roman" w:hAnsi="Arial"/>
          <w:sz w:val="22"/>
          <w:szCs w:val="22"/>
          <w:lang w:val="es-ES_tradnl" w:eastAsia="de-DE"/>
        </w:rPr>
        <w:t xml:space="preserve">Willis </w:t>
      </w:r>
      <w:proofErr w:type="spellStart"/>
      <w:r w:rsidR="004D37D5">
        <w:rPr>
          <w:rFonts w:ascii="Arial" w:eastAsia="Times New Roman" w:hAnsi="Arial"/>
          <w:sz w:val="22"/>
          <w:szCs w:val="22"/>
          <w:lang w:val="es-ES_tradnl" w:eastAsia="de-DE"/>
        </w:rPr>
        <w:t>Towers</w:t>
      </w:r>
      <w:proofErr w:type="spellEnd"/>
      <w:r w:rsidR="004D37D5">
        <w:rPr>
          <w:rFonts w:ascii="Arial" w:eastAsia="Times New Roman" w:hAnsi="Arial"/>
          <w:sz w:val="22"/>
          <w:szCs w:val="22"/>
          <w:lang w:val="es-ES_tradnl" w:eastAsia="de-DE"/>
        </w:rPr>
        <w:t xml:space="preserve"> Watson Networks</w:t>
      </w:r>
      <w:r w:rsidR="000B0641">
        <w:rPr>
          <w:rFonts w:ascii="Arial" w:eastAsia="Times New Roman" w:hAnsi="Arial"/>
          <w:sz w:val="22"/>
          <w:szCs w:val="22"/>
          <w:lang w:val="es-ES_tradnl" w:eastAsia="de-DE"/>
        </w:rPr>
        <w:t xml:space="preserve"> y sus asociados, un encuentro para definir una ruta común para afrontar este año.</w:t>
      </w:r>
    </w:p>
    <w:p w14:paraId="71EA27FC" w14:textId="77777777" w:rsidR="000B0641" w:rsidRDefault="000B0641" w:rsidP="000B064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F0CD0DA" w14:textId="34072D94" w:rsidR="000B0641" w:rsidRPr="00733921" w:rsidRDefault="000B0641" w:rsidP="000B064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A40995">
        <w:rPr>
          <w:rFonts w:ascii="Arial" w:eastAsia="Times New Roman" w:hAnsi="Arial"/>
          <w:sz w:val="22"/>
          <w:szCs w:val="22"/>
          <w:lang w:eastAsia="de-DE"/>
        </w:rPr>
        <w:t xml:space="preserve">Francisco García Vegas, Director General y responsable del Área Comercial y de </w:t>
      </w:r>
      <w:proofErr w:type="spellStart"/>
      <w:r w:rsidRPr="00A40995">
        <w:rPr>
          <w:rFonts w:ascii="Arial" w:eastAsia="Times New Roman" w:hAnsi="Arial"/>
          <w:sz w:val="22"/>
          <w:szCs w:val="22"/>
          <w:lang w:eastAsia="de-DE"/>
        </w:rPr>
        <w:t>Marke</w:t>
      </w:r>
      <w:r>
        <w:rPr>
          <w:rFonts w:ascii="Arial" w:eastAsia="Times New Roman" w:hAnsi="Arial"/>
          <w:sz w:val="22"/>
          <w:szCs w:val="22"/>
          <w:lang w:eastAsia="de-DE"/>
        </w:rPr>
        <w:t>t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Management lideró, por parte de la aseguradora, e</w:t>
      </w:r>
      <w:bookmarkStart w:id="0" w:name="_GoBack"/>
      <w:bookmarkEnd w:id="0"/>
      <w:r>
        <w:rPr>
          <w:rFonts w:ascii="Arial" w:eastAsia="Times New Roman" w:hAnsi="Arial"/>
          <w:sz w:val="22"/>
          <w:szCs w:val="22"/>
          <w:lang w:eastAsia="de-DE"/>
        </w:rPr>
        <w:t xml:space="preserve">sta reunión en la que también participaron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Miquel Magem, </w:t>
      </w:r>
      <w:r w:rsidRPr="00FF3C36">
        <w:rPr>
          <w:rFonts w:ascii="Arial" w:eastAsia="Times New Roman" w:hAnsi="Arial"/>
          <w:sz w:val="22"/>
          <w:szCs w:val="22"/>
          <w:lang w:val="es-ES_tradnl" w:eastAsia="de-DE"/>
        </w:rPr>
        <w:t>Director Desarrollo Comercial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, y seis Directores Comerciales </w:t>
      </w: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>de Allianz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 En concreto</w:t>
      </w:r>
      <w:r w:rsidRPr="00733921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Francisco Javier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Fernández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-Agustí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irección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C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omercial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Noroeste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Carmen González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Norte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Miguel Echevarría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Cataluña e Islas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José Ramón Álvarez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Centro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); 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Ignacio Ripol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Levante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) y Francisco Martínez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 xml:space="preserve"> de Velasco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(</w:t>
      </w:r>
      <w:r w:rsidRPr="005D4DFA">
        <w:rPr>
          <w:rFonts w:ascii="Arial" w:eastAsia="Times New Roman" w:hAnsi="Arial"/>
          <w:sz w:val="22"/>
          <w:szCs w:val="22"/>
          <w:lang w:val="es-ES_tradnl" w:eastAsia="de-DE"/>
        </w:rPr>
        <w:t>DC Suroeste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).</w:t>
      </w:r>
    </w:p>
    <w:p w14:paraId="69B52105" w14:textId="052D0F49" w:rsidR="000B0641" w:rsidRDefault="000B0641" w:rsidP="000B0641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9EC24FB" w14:textId="20E4EE85" w:rsidR="00326253" w:rsidRDefault="00326253" w:rsidP="0032625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 w:rsidRPr="00A40995">
        <w:rPr>
          <w:rFonts w:ascii="Arial" w:eastAsia="Times New Roman" w:hAnsi="Arial"/>
          <w:sz w:val="22"/>
          <w:szCs w:val="22"/>
          <w:lang w:eastAsia="de-DE"/>
        </w:rPr>
        <w:t>Francisco García Vegas</w:t>
      </w:r>
      <w:r w:rsidDel="0032625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enfatizó</w:t>
      </w:r>
      <w:r w:rsidR="000C310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durante la reunión</w:t>
      </w:r>
      <w:r w:rsidR="000C310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la necesidad de fomentar el diálogo y la transparencia existente entre ambas entidades para afrontar este año con determinación y garantía de éxito. </w:t>
      </w:r>
      <w:r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“Queremos ser una compañía digital e </w:t>
      </w:r>
      <w:proofErr w:type="gramStart"/>
      <w:r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>innovadora</w:t>
      </w:r>
      <w:proofErr w:type="gramEnd"/>
      <w:r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pero al tiempo seguiremo</w:t>
      </w:r>
      <w:r w:rsidR="00904611"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>s siendo cercanos y responderemos m</w:t>
      </w:r>
      <w:r w:rsidR="00904611">
        <w:rPr>
          <w:rFonts w:ascii="Arial" w:eastAsia="Times New Roman" w:hAnsi="Arial"/>
          <w:i/>
          <w:sz w:val="22"/>
          <w:szCs w:val="22"/>
          <w:lang w:val="es-ES_tradnl" w:eastAsia="de-DE"/>
        </w:rPr>
        <w:t>ás, si cabe,</w:t>
      </w:r>
      <w:r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a las necesidades e inquietudes de nuestra red </w:t>
      </w:r>
      <w:r w:rsidR="001534D1">
        <w:rPr>
          <w:rFonts w:ascii="Arial" w:eastAsia="Times New Roman" w:hAnsi="Arial"/>
          <w:i/>
          <w:sz w:val="22"/>
          <w:szCs w:val="22"/>
          <w:lang w:val="es-ES_tradnl" w:eastAsia="de-DE"/>
        </w:rPr>
        <w:t>de mediadores</w:t>
      </w:r>
      <w:r w:rsidRPr="00875F48">
        <w:rPr>
          <w:rFonts w:ascii="Arial" w:eastAsia="Times New Roman" w:hAnsi="Arial"/>
          <w:i/>
          <w:sz w:val="22"/>
          <w:szCs w:val="22"/>
          <w:lang w:val="es-ES_tradnl" w:eastAsia="de-DE"/>
        </w:rPr>
        <w:t>”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, </w:t>
      </w:r>
      <w:r w:rsidRPr="00875F48">
        <w:rPr>
          <w:rFonts w:ascii="Arial" w:eastAsia="Times New Roman" w:hAnsi="Arial"/>
          <w:sz w:val="22"/>
          <w:szCs w:val="22"/>
          <w:lang w:val="es-ES_tradnl" w:eastAsia="de-DE"/>
        </w:rPr>
        <w:t>apuntó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25D93C54" w14:textId="77777777" w:rsidR="00326253" w:rsidRPr="00733921" w:rsidRDefault="00326253" w:rsidP="000B0641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E82F3FB" w14:textId="77777777" w:rsidR="00C93DD4" w:rsidRDefault="000B0641" w:rsidP="000C310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La jornada sirvió de marco </w:t>
      </w:r>
      <w:r w:rsidR="00326253">
        <w:rPr>
          <w:rFonts w:ascii="Arial" w:eastAsia="Times New Roman" w:hAnsi="Arial"/>
          <w:sz w:val="22"/>
          <w:szCs w:val="22"/>
          <w:lang w:val="es-ES_tradnl" w:eastAsia="de-DE"/>
        </w:rPr>
        <w:t>para hacer un repaso por la 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ituación del mercado</w:t>
      </w:r>
      <w:r w:rsidR="00326253">
        <w:rPr>
          <w:rFonts w:ascii="Arial" w:eastAsia="Times New Roman" w:hAnsi="Arial"/>
          <w:sz w:val="22"/>
          <w:szCs w:val="22"/>
          <w:lang w:val="es-ES_tradnl" w:eastAsia="de-DE"/>
        </w:rPr>
        <w:t xml:space="preserve"> nacional e internacional, conocer las previsiones de los expertos sobre los escenarios económicos que se prevén para los próximos meses y presentar las medidas que</w:t>
      </w:r>
      <w:r w:rsidR="000C310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26253">
        <w:rPr>
          <w:rFonts w:ascii="Arial" w:eastAsia="Times New Roman" w:hAnsi="Arial"/>
          <w:sz w:val="22"/>
          <w:szCs w:val="22"/>
          <w:lang w:val="es-ES_tradnl" w:eastAsia="de-DE"/>
        </w:rPr>
        <w:t xml:space="preserve"> para las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diferentes </w:t>
      </w:r>
      <w:r w:rsidR="00326253">
        <w:rPr>
          <w:rFonts w:ascii="Arial" w:eastAsia="Times New Roman" w:hAnsi="Arial"/>
          <w:sz w:val="22"/>
          <w:szCs w:val="22"/>
          <w:lang w:val="es-ES_tradnl" w:eastAsia="de-DE"/>
        </w:rPr>
        <w:t>áreas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de negocio</w:t>
      </w:r>
      <w:r w:rsidR="000C310B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ha </w:t>
      </w:r>
      <w:r w:rsidR="00326253">
        <w:rPr>
          <w:rFonts w:ascii="Arial" w:eastAsia="Times New Roman" w:hAnsi="Arial"/>
          <w:sz w:val="22"/>
          <w:szCs w:val="22"/>
          <w:lang w:val="es-ES_tradnl" w:eastAsia="de-DE"/>
        </w:rPr>
        <w:t>puesto en marcha la compañía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</w:t>
      </w:r>
      <w:r w:rsidR="000C310B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4C91D7E7" w14:textId="77777777" w:rsidR="00C93DD4" w:rsidRDefault="00C93DD4" w:rsidP="000C310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A1C3325" w14:textId="4BF2C720" w:rsidR="000C310B" w:rsidRPr="00733921" w:rsidRDefault="000C310B" w:rsidP="000C310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Especial atención despertó la apuesta de Allianz </w:t>
      </w:r>
      <w:r>
        <w:rPr>
          <w:rFonts w:ascii="Arial" w:eastAsia="Times New Roman" w:hAnsi="Arial"/>
          <w:sz w:val="22"/>
          <w:szCs w:val="22"/>
          <w:lang w:eastAsia="de-DE"/>
        </w:rPr>
        <w:t>por la comercialización de planes de pensiones y fondos de inversión</w:t>
      </w:r>
      <w:r w:rsidRPr="00875F48">
        <w:rPr>
          <w:rFonts w:ascii="Arial" w:eastAsia="Times New Roman" w:hAnsi="Arial"/>
          <w:i/>
          <w:sz w:val="22"/>
          <w:szCs w:val="22"/>
          <w:lang w:eastAsia="de-DE"/>
        </w:rPr>
        <w:t xml:space="preserve">. “Tenemos todo para posicionarnos como un </w:t>
      </w:r>
      <w:r w:rsidRPr="00875F48">
        <w:rPr>
          <w:rFonts w:ascii="Arial" w:eastAsia="Times New Roman" w:hAnsi="Arial"/>
          <w:i/>
          <w:sz w:val="22"/>
          <w:szCs w:val="22"/>
          <w:lang w:eastAsia="de-DE"/>
        </w:rPr>
        <w:lastRenderedPageBreak/>
        <w:t xml:space="preserve">actor relevante en este mercado: productos, profesionales y la capacidad de dar un servicio </w:t>
      </w:r>
      <w:proofErr w:type="spellStart"/>
      <w:r w:rsidR="00001EF3">
        <w:rPr>
          <w:rFonts w:ascii="Arial" w:eastAsia="Times New Roman" w:hAnsi="Arial"/>
          <w:i/>
          <w:sz w:val="22"/>
          <w:szCs w:val="22"/>
          <w:lang w:eastAsia="de-DE"/>
        </w:rPr>
        <w:t>p</w:t>
      </w:r>
      <w:r w:rsidRPr="00875F48">
        <w:rPr>
          <w:rFonts w:ascii="Arial" w:eastAsia="Times New Roman" w:hAnsi="Arial"/>
          <w:i/>
          <w:sz w:val="22"/>
          <w:szCs w:val="22"/>
          <w:lang w:eastAsia="de-DE"/>
        </w:rPr>
        <w:t>remium</w:t>
      </w:r>
      <w:proofErr w:type="spellEnd"/>
      <w:r w:rsidRPr="00875F48">
        <w:rPr>
          <w:rFonts w:ascii="Arial" w:eastAsia="Times New Roman" w:hAnsi="Arial"/>
          <w:i/>
          <w:sz w:val="22"/>
          <w:szCs w:val="22"/>
          <w:lang w:eastAsia="de-DE"/>
        </w:rPr>
        <w:t xml:space="preserve"> a los corredores que quieran ofrecer a sus clientes productos de inversión”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, señaló Miquel Magem, </w:t>
      </w:r>
      <w:r w:rsidRPr="00FF3C36">
        <w:rPr>
          <w:rFonts w:ascii="Arial" w:eastAsia="Times New Roman" w:hAnsi="Arial"/>
          <w:sz w:val="22"/>
          <w:szCs w:val="22"/>
          <w:lang w:val="es-ES_tradnl" w:eastAsia="de-DE"/>
        </w:rPr>
        <w:t>Director Desarrollo Comercial</w:t>
      </w:r>
      <w:r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64C0B73F" w14:textId="3E01A0BD" w:rsidR="000B0641" w:rsidRDefault="000B0641" w:rsidP="000B0641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5F804ED2" w14:textId="5ED3AD09" w:rsidR="000C310B" w:rsidRDefault="000C310B" w:rsidP="000B0641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A lo largo de todo el encuentro se fomentó el diálogo</w:t>
      </w:r>
      <w:r w:rsidR="00C93DD4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el intercambio de opiniones </w:t>
      </w:r>
      <w:r w:rsidR="007862A0">
        <w:rPr>
          <w:rFonts w:ascii="Arial" w:eastAsia="Times New Roman" w:hAnsi="Arial"/>
          <w:sz w:val="22"/>
          <w:szCs w:val="22"/>
          <w:lang w:val="es-ES_tradnl" w:eastAsia="de-DE"/>
        </w:rPr>
        <w:t>y la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identificación de áreas de mejora para dibujar los próximos pasos que las entidades abordarán de forma conjunta.</w:t>
      </w:r>
    </w:p>
    <w:p w14:paraId="1222CAE8" w14:textId="77777777" w:rsidR="00A0394D" w:rsidRPr="00A0394D" w:rsidRDefault="00A0394D" w:rsidP="00733921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5BCECF44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smartphones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27F24B41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53DD781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7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98B6F" w14:textId="77777777" w:rsidR="009F1C25" w:rsidRDefault="009F1C25" w:rsidP="009F1C25">
      <w:r>
        <w:separator/>
      </w:r>
    </w:p>
  </w:endnote>
  <w:endnote w:type="continuationSeparator" w:id="0">
    <w:p w14:paraId="30B1DE18" w14:textId="77777777" w:rsidR="009F1C25" w:rsidRDefault="009F1C25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004B" w14:textId="77777777" w:rsidR="009F1C25" w:rsidRDefault="009F1C25" w:rsidP="009F1C25">
      <w:r>
        <w:separator/>
      </w:r>
    </w:p>
  </w:footnote>
  <w:footnote w:type="continuationSeparator" w:id="0">
    <w:p w14:paraId="7250EC98" w14:textId="77777777" w:rsidR="009F1C25" w:rsidRDefault="009F1C25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791F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26"/>
    <w:rsid w:val="00000C64"/>
    <w:rsid w:val="00001EF3"/>
    <w:rsid w:val="000079C2"/>
    <w:rsid w:val="00024CA7"/>
    <w:rsid w:val="00080349"/>
    <w:rsid w:val="000A797A"/>
    <w:rsid w:val="000B0641"/>
    <w:rsid w:val="000B1E06"/>
    <w:rsid w:val="000B6925"/>
    <w:rsid w:val="000C310B"/>
    <w:rsid w:val="00102651"/>
    <w:rsid w:val="00106AAF"/>
    <w:rsid w:val="001534D1"/>
    <w:rsid w:val="0017172A"/>
    <w:rsid w:val="00177C18"/>
    <w:rsid w:val="001C57C2"/>
    <w:rsid w:val="001C683E"/>
    <w:rsid w:val="001D3EBD"/>
    <w:rsid w:val="001D7DCD"/>
    <w:rsid w:val="002109FE"/>
    <w:rsid w:val="0022002E"/>
    <w:rsid w:val="00227422"/>
    <w:rsid w:val="00237382"/>
    <w:rsid w:val="00244F17"/>
    <w:rsid w:val="00262081"/>
    <w:rsid w:val="002973F1"/>
    <w:rsid w:val="002A2B63"/>
    <w:rsid w:val="002B56A9"/>
    <w:rsid w:val="002E1029"/>
    <w:rsid w:val="0031153D"/>
    <w:rsid w:val="00326253"/>
    <w:rsid w:val="00332D80"/>
    <w:rsid w:val="00341D44"/>
    <w:rsid w:val="003457FB"/>
    <w:rsid w:val="003A3291"/>
    <w:rsid w:val="003C63A6"/>
    <w:rsid w:val="00402A79"/>
    <w:rsid w:val="00431966"/>
    <w:rsid w:val="004902A6"/>
    <w:rsid w:val="004D37D5"/>
    <w:rsid w:val="004E2C64"/>
    <w:rsid w:val="00507805"/>
    <w:rsid w:val="005521F5"/>
    <w:rsid w:val="0055304B"/>
    <w:rsid w:val="005A276D"/>
    <w:rsid w:val="0065416F"/>
    <w:rsid w:val="0066072E"/>
    <w:rsid w:val="006645C8"/>
    <w:rsid w:val="006926EF"/>
    <w:rsid w:val="006A3F73"/>
    <w:rsid w:val="006F79A7"/>
    <w:rsid w:val="00704091"/>
    <w:rsid w:val="007240D2"/>
    <w:rsid w:val="00733921"/>
    <w:rsid w:val="00741287"/>
    <w:rsid w:val="00741438"/>
    <w:rsid w:val="00744131"/>
    <w:rsid w:val="00746798"/>
    <w:rsid w:val="00754563"/>
    <w:rsid w:val="00781EB4"/>
    <w:rsid w:val="007862A0"/>
    <w:rsid w:val="007A320E"/>
    <w:rsid w:val="007E0D79"/>
    <w:rsid w:val="007F1A13"/>
    <w:rsid w:val="00817743"/>
    <w:rsid w:val="00846D9D"/>
    <w:rsid w:val="00850111"/>
    <w:rsid w:val="00875F48"/>
    <w:rsid w:val="00891D6E"/>
    <w:rsid w:val="008B658E"/>
    <w:rsid w:val="008C3426"/>
    <w:rsid w:val="00904611"/>
    <w:rsid w:val="0091464D"/>
    <w:rsid w:val="009C6911"/>
    <w:rsid w:val="009F1C25"/>
    <w:rsid w:val="009F6264"/>
    <w:rsid w:val="00A0394D"/>
    <w:rsid w:val="00A10D4C"/>
    <w:rsid w:val="00A45AC1"/>
    <w:rsid w:val="00A54DD6"/>
    <w:rsid w:val="00AB122B"/>
    <w:rsid w:val="00AC5DDF"/>
    <w:rsid w:val="00AD2E53"/>
    <w:rsid w:val="00AD6FE1"/>
    <w:rsid w:val="00B11C13"/>
    <w:rsid w:val="00B272FB"/>
    <w:rsid w:val="00B368C8"/>
    <w:rsid w:val="00B41B57"/>
    <w:rsid w:val="00B542CD"/>
    <w:rsid w:val="00B77C89"/>
    <w:rsid w:val="00B80A3B"/>
    <w:rsid w:val="00B8510E"/>
    <w:rsid w:val="00BA0B8F"/>
    <w:rsid w:val="00BA46CF"/>
    <w:rsid w:val="00BB5A92"/>
    <w:rsid w:val="00BD7154"/>
    <w:rsid w:val="00BE1EA6"/>
    <w:rsid w:val="00BE7C5F"/>
    <w:rsid w:val="00C267E4"/>
    <w:rsid w:val="00C655BA"/>
    <w:rsid w:val="00C77732"/>
    <w:rsid w:val="00C86956"/>
    <w:rsid w:val="00C93DD4"/>
    <w:rsid w:val="00CC05C8"/>
    <w:rsid w:val="00CC626D"/>
    <w:rsid w:val="00CE34DB"/>
    <w:rsid w:val="00D33DA7"/>
    <w:rsid w:val="00D41EB4"/>
    <w:rsid w:val="00D72BD7"/>
    <w:rsid w:val="00D90749"/>
    <w:rsid w:val="00DC0EF6"/>
    <w:rsid w:val="00DD3AFF"/>
    <w:rsid w:val="00DE4F25"/>
    <w:rsid w:val="00DF3431"/>
    <w:rsid w:val="00E00CCE"/>
    <w:rsid w:val="00E30922"/>
    <w:rsid w:val="00E4526C"/>
    <w:rsid w:val="00E54E99"/>
    <w:rsid w:val="00E57DA3"/>
    <w:rsid w:val="00E63F1E"/>
    <w:rsid w:val="00E755CB"/>
    <w:rsid w:val="00E817ED"/>
    <w:rsid w:val="00E947FB"/>
    <w:rsid w:val="00EA61E8"/>
    <w:rsid w:val="00EC5DBA"/>
    <w:rsid w:val="00EE4194"/>
    <w:rsid w:val="00EF5F50"/>
    <w:rsid w:val="00F163D1"/>
    <w:rsid w:val="00F22484"/>
    <w:rsid w:val="00F37BC4"/>
    <w:rsid w:val="00F65149"/>
    <w:rsid w:val="00FA2CB9"/>
    <w:rsid w:val="00FC1AFD"/>
    <w:rsid w:val="00FD464D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dcterms:created xsi:type="dcterms:W3CDTF">2021-03-26T13:32:00Z</dcterms:created>
  <dcterms:modified xsi:type="dcterms:W3CDTF">2021-03-26T13:32:00Z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32021163312">
    <vt:lpwstr>25032021163312;e006418;0</vt:lpwstr>
  </property>
</Properties>
</file>