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9DB0F" w14:textId="7040346D" w:rsidR="00B167C0" w:rsidRDefault="009C37EA" w:rsidP="4C572FD2">
      <w:pPr>
        <w:spacing w:line="360" w:lineRule="auto"/>
        <w:jc w:val="center"/>
        <w:rPr>
          <w:rFonts w:ascii="Arial" w:eastAsia="Arial" w:hAnsi="Arial" w:cs="Arial"/>
          <w:b/>
          <w:bCs/>
          <w:sz w:val="32"/>
          <w:szCs w:val="32"/>
          <w:lang w:val="es-ES"/>
        </w:rPr>
      </w:pPr>
      <w:r w:rsidRPr="5A389B10">
        <w:rPr>
          <w:rFonts w:ascii="Arial" w:eastAsia="Arial" w:hAnsi="Arial" w:cs="Arial"/>
          <w:b/>
          <w:bCs/>
          <w:sz w:val="32"/>
          <w:szCs w:val="32"/>
          <w:lang w:val="es-ES"/>
        </w:rPr>
        <w:t xml:space="preserve">BBVA Allianz refuerza su experiencia digital con </w:t>
      </w:r>
      <w:r w:rsidR="4E279FDD" w:rsidRPr="6C3CFAD8">
        <w:rPr>
          <w:rFonts w:ascii="Arial" w:eastAsia="Arial" w:hAnsi="Arial" w:cs="Arial"/>
          <w:b/>
          <w:bCs/>
          <w:sz w:val="32"/>
          <w:szCs w:val="32"/>
          <w:lang w:val="es-ES"/>
        </w:rPr>
        <w:t xml:space="preserve">el </w:t>
      </w:r>
      <w:r w:rsidRPr="6C3CFAD8">
        <w:rPr>
          <w:rFonts w:ascii="Arial" w:eastAsia="Arial" w:hAnsi="Arial" w:cs="Arial"/>
          <w:b/>
          <w:bCs/>
          <w:sz w:val="32"/>
          <w:szCs w:val="32"/>
          <w:lang w:val="es-ES"/>
        </w:rPr>
        <w:t>seguimiento</w:t>
      </w:r>
      <w:r w:rsidRPr="5A389B10">
        <w:rPr>
          <w:rFonts w:ascii="Arial" w:eastAsia="Arial" w:hAnsi="Arial" w:cs="Arial"/>
          <w:b/>
          <w:bCs/>
          <w:sz w:val="32"/>
          <w:szCs w:val="32"/>
          <w:lang w:val="es-ES"/>
        </w:rPr>
        <w:t xml:space="preserve"> de siniestros en tiempo real </w:t>
      </w:r>
      <w:r w:rsidR="00B167C0" w:rsidRPr="5A389B10">
        <w:rPr>
          <w:rFonts w:ascii="Arial" w:eastAsia="Arial" w:hAnsi="Arial" w:cs="Arial"/>
          <w:b/>
          <w:bCs/>
          <w:sz w:val="32"/>
          <w:szCs w:val="32"/>
          <w:lang w:val="es-ES"/>
        </w:rPr>
        <w:t xml:space="preserve">desde el móvil </w:t>
      </w:r>
    </w:p>
    <w:p w14:paraId="3FC48330" w14:textId="77777777" w:rsidR="00B167C0" w:rsidRPr="00B167C0" w:rsidRDefault="00B167C0" w:rsidP="597D8485">
      <w:pPr>
        <w:pStyle w:val="Prrafodelista"/>
        <w:numPr>
          <w:ilvl w:val="0"/>
          <w:numId w:val="1"/>
        </w:numPr>
        <w:spacing w:line="360" w:lineRule="auto"/>
        <w:rPr>
          <w:rFonts w:ascii="Arial" w:eastAsia="Arial" w:hAnsi="Arial" w:cs="Arial"/>
          <w:b/>
          <w:bCs/>
          <w:lang w:val="es-ES"/>
        </w:rPr>
      </w:pPr>
      <w:r w:rsidRPr="33033669">
        <w:rPr>
          <w:rFonts w:ascii="Arial" w:eastAsia="Arial" w:hAnsi="Arial" w:cs="Arial"/>
          <w:b/>
          <w:bCs/>
          <w:lang w:val="es-ES"/>
        </w:rPr>
        <w:t>La nueva funcionalidad permite comunicar y consultar el estado de un siniestro desde el móvil, con acceso a cada avance del expediente y notificaciones en tiempo real</w:t>
      </w:r>
    </w:p>
    <w:p w14:paraId="70E9AD97" w14:textId="77777777" w:rsidR="00B167C0" w:rsidRPr="00B167C0" w:rsidRDefault="00B167C0" w:rsidP="597D8485">
      <w:pPr>
        <w:pStyle w:val="Prrafodelista"/>
        <w:numPr>
          <w:ilvl w:val="0"/>
          <w:numId w:val="1"/>
        </w:numPr>
        <w:spacing w:line="360" w:lineRule="auto"/>
        <w:rPr>
          <w:rFonts w:ascii="Arial" w:eastAsia="Arial" w:hAnsi="Arial" w:cs="Arial"/>
          <w:b/>
          <w:bCs/>
          <w:lang w:val="es-ES"/>
        </w:rPr>
      </w:pPr>
      <w:r w:rsidRPr="33033669">
        <w:rPr>
          <w:rFonts w:ascii="Arial" w:eastAsia="Arial" w:hAnsi="Arial" w:cs="Arial"/>
          <w:b/>
          <w:bCs/>
          <w:lang w:val="es-ES"/>
        </w:rPr>
        <w:t>La iniciativa se apoya en las capacidades tecnológicas de BBVA Allianz, que ya utiliza inteligencia artificial para gestionar más de 2,3 millones de llamadas al año y más de 250.000 operaciones de servicio anuales</w:t>
      </w:r>
    </w:p>
    <w:p w14:paraId="4FB55BF0" w14:textId="7C2AC25A" w:rsidR="00B167C0" w:rsidRDefault="00B167C0" w:rsidP="597D8485">
      <w:pPr>
        <w:pStyle w:val="Prrafodelista"/>
        <w:numPr>
          <w:ilvl w:val="0"/>
          <w:numId w:val="1"/>
        </w:numPr>
        <w:spacing w:line="360" w:lineRule="auto"/>
        <w:rPr>
          <w:rFonts w:ascii="Arial" w:eastAsia="Arial" w:hAnsi="Arial" w:cs="Arial"/>
          <w:b/>
          <w:bCs/>
          <w:lang w:val="es-ES"/>
        </w:rPr>
      </w:pPr>
      <w:r w:rsidRPr="33033669">
        <w:rPr>
          <w:rFonts w:ascii="Arial" w:eastAsia="Arial" w:hAnsi="Arial" w:cs="Arial"/>
          <w:b/>
          <w:bCs/>
          <w:lang w:val="es-ES"/>
        </w:rPr>
        <w:t>La compañía sigue avanzando hacia una experiencia más sencilla, personalizada y transparente para sus clientes</w:t>
      </w:r>
    </w:p>
    <w:p w14:paraId="572B7C08" w14:textId="77777777" w:rsidR="00B167C0" w:rsidRPr="00B167C0" w:rsidRDefault="00B167C0" w:rsidP="00B167C0">
      <w:pPr>
        <w:pStyle w:val="Prrafodelista"/>
        <w:rPr>
          <w:b/>
          <w:bCs/>
          <w:lang w:val="es-ES"/>
        </w:rPr>
      </w:pPr>
    </w:p>
    <w:p w14:paraId="7B94D72F" w14:textId="14E230D5" w:rsidR="00B167C0" w:rsidRPr="00BD528B" w:rsidRDefault="685E0398" w:rsidP="00B167C0">
      <w:pPr>
        <w:jc w:val="both"/>
        <w:rPr>
          <w:lang w:val="es-ES"/>
        </w:rPr>
      </w:pPr>
      <w:r w:rsidRPr="6634D47C">
        <w:rPr>
          <w:rFonts w:ascii="Arial" w:eastAsia="Arial" w:hAnsi="Arial" w:cs="Arial"/>
          <w:sz w:val="22"/>
          <w:szCs w:val="22"/>
          <w:lang w:val="es-ES"/>
        </w:rPr>
        <w:t>BBVA</w:t>
      </w:r>
      <w:r w:rsidR="4723958B" w:rsidRPr="6634D47C">
        <w:rPr>
          <w:rFonts w:ascii="Arial" w:eastAsia="Arial" w:hAnsi="Arial" w:cs="Arial"/>
          <w:sz w:val="22"/>
          <w:szCs w:val="22"/>
          <w:lang w:val="es-ES"/>
        </w:rPr>
        <w:t xml:space="preserve"> Allianz</w:t>
      </w:r>
      <w:r w:rsidRPr="6634D47C">
        <w:rPr>
          <w:rFonts w:ascii="Arial" w:eastAsia="Arial" w:hAnsi="Arial" w:cs="Arial"/>
          <w:sz w:val="22"/>
          <w:szCs w:val="22"/>
          <w:lang w:val="es-ES"/>
        </w:rPr>
        <w:t xml:space="preserve"> ha incorporado una nueva funcionalidad en su aplicación móvil que permite a </w:t>
      </w:r>
      <w:r w:rsidR="4723958B" w:rsidRPr="6634D47C">
        <w:rPr>
          <w:rFonts w:ascii="Arial" w:eastAsia="Arial" w:hAnsi="Arial" w:cs="Arial"/>
          <w:sz w:val="22"/>
          <w:szCs w:val="22"/>
          <w:lang w:val="es-ES"/>
        </w:rPr>
        <w:t>sus</w:t>
      </w:r>
      <w:r w:rsidRPr="6634D47C">
        <w:rPr>
          <w:rFonts w:ascii="Arial" w:eastAsia="Arial" w:hAnsi="Arial" w:cs="Arial"/>
          <w:sz w:val="22"/>
          <w:szCs w:val="22"/>
          <w:lang w:val="es-ES"/>
        </w:rPr>
        <w:t xml:space="preserve"> clientes comunicar y realizar el seguimiento en tiempo real de los siniestros de hogar directamente desde la </w:t>
      </w:r>
      <w:r w:rsidR="00D573E7" w:rsidRPr="00D573E7">
        <w:rPr>
          <w:rFonts w:ascii="Arial" w:eastAsia="Arial" w:hAnsi="Arial" w:cs="Arial"/>
          <w:sz w:val="22"/>
          <w:szCs w:val="22"/>
          <w:lang w:val="es-ES"/>
        </w:rPr>
        <w:t>‘app’ de BBVA en España.</w:t>
      </w:r>
      <w:r w:rsidR="00D573E7">
        <w:rPr>
          <w:rFonts w:ascii="Arial" w:eastAsia="Arial" w:hAnsi="Arial" w:cs="Arial"/>
          <w:sz w:val="22"/>
          <w:szCs w:val="22"/>
          <w:lang w:val="es-ES"/>
        </w:rPr>
        <w:t xml:space="preserve"> </w:t>
      </w:r>
      <w:r w:rsidRPr="6634D47C">
        <w:rPr>
          <w:rFonts w:ascii="Arial" w:eastAsia="Arial" w:hAnsi="Arial" w:cs="Arial"/>
          <w:sz w:val="22"/>
          <w:szCs w:val="22"/>
          <w:lang w:val="es-ES"/>
        </w:rPr>
        <w:t>La herramienta, disponible en España, facilita conocer la evolución de un expediente desde su apertura hasta su resolución, aportando mayor transparencia, autonomía y comodidad durante todo el proceso.</w:t>
      </w:r>
    </w:p>
    <w:p w14:paraId="2B146CA8" w14:textId="3C9DE1F0" w:rsidR="352D4933" w:rsidRPr="00BD528B" w:rsidRDefault="352D4933" w:rsidP="6634D47C">
      <w:pPr>
        <w:jc w:val="both"/>
        <w:rPr>
          <w:lang w:val="es-ES"/>
        </w:rPr>
      </w:pPr>
      <w:r w:rsidRPr="6634D47C">
        <w:rPr>
          <w:rFonts w:ascii="Arial" w:eastAsia="Arial" w:hAnsi="Arial" w:cs="Arial"/>
          <w:sz w:val="22"/>
          <w:szCs w:val="22"/>
          <w:lang w:val="es-ES"/>
        </w:rPr>
        <w:t xml:space="preserve">A través de esta nueva funcionalidad, los usuarios pueden consultar en qué fase se encuentra su expediente, conocer las actuaciones realizadas y activar notificaciones para recibir información sobre cualquier novedad relevante. </w:t>
      </w:r>
    </w:p>
    <w:p w14:paraId="715FF6E4" w14:textId="3CCF0BA4" w:rsidR="352D4933" w:rsidRPr="00BD528B" w:rsidRDefault="352D4933" w:rsidP="6634D47C">
      <w:pPr>
        <w:jc w:val="both"/>
        <w:rPr>
          <w:lang w:val="es-ES"/>
        </w:rPr>
      </w:pPr>
      <w:r w:rsidRPr="6634D47C">
        <w:rPr>
          <w:rFonts w:ascii="Arial" w:eastAsia="Arial" w:hAnsi="Arial" w:cs="Arial"/>
          <w:sz w:val="22"/>
          <w:szCs w:val="22"/>
          <w:lang w:val="es-ES"/>
        </w:rPr>
        <w:t xml:space="preserve">Esta mejora supone un paso más en la estrategia de digitalización de BBVA Allianz, antes los clientes ya podían comunicar sus siniestros de hogar a través de la app, adjuntar la documentación necesaria y realizar las gestiones iniciales de forma ágil y sencilla. </w:t>
      </w:r>
      <w:r w:rsidR="4044793F" w:rsidRPr="6634D47C">
        <w:rPr>
          <w:rFonts w:ascii="Arial" w:eastAsia="Arial" w:hAnsi="Arial" w:cs="Arial"/>
          <w:sz w:val="22"/>
          <w:szCs w:val="22"/>
          <w:lang w:val="es-ES"/>
        </w:rPr>
        <w:t>Ahora, además, pueden seguir la evolución de su expediente en tiempo real y recibir avisos ante cualquier avance o actualización, lo que les proporciona una mayor visibilidad, transparencia y control durante todo el proceso de gestión del siniestro.</w:t>
      </w:r>
    </w:p>
    <w:p w14:paraId="18100D7A" w14:textId="57540673" w:rsidR="00B167C0" w:rsidRPr="00B167C0" w:rsidRDefault="4A3D9DB3" w:rsidP="00B167C0">
      <w:pPr>
        <w:jc w:val="both"/>
        <w:rPr>
          <w:rFonts w:ascii="Arial" w:eastAsia="Arial" w:hAnsi="Arial" w:cs="Arial"/>
          <w:sz w:val="22"/>
          <w:szCs w:val="22"/>
          <w:lang w:val="es-ES"/>
        </w:rPr>
      </w:pPr>
      <w:r w:rsidRPr="6634D47C">
        <w:rPr>
          <w:rFonts w:ascii="Arial" w:eastAsia="Arial" w:hAnsi="Arial" w:cs="Arial"/>
          <w:sz w:val="22"/>
          <w:szCs w:val="22"/>
          <w:lang w:val="es-ES"/>
        </w:rPr>
        <w:t xml:space="preserve">El servicio está integrado en Espacio Seguros, el área de la app de BBVA que concentra toda la información aseguradora de los clientes, y también puede utilizarse desde la zona de emergencias o desde el detalle de la póliza. </w:t>
      </w:r>
    </w:p>
    <w:p w14:paraId="3AE1CE46" w14:textId="777170FE" w:rsidR="00B167C0" w:rsidRPr="00B167C0" w:rsidRDefault="00B167C0" w:rsidP="00B167C0">
      <w:pPr>
        <w:jc w:val="both"/>
        <w:rPr>
          <w:rFonts w:ascii="Arial" w:eastAsia="Arial" w:hAnsi="Arial" w:cs="Arial"/>
          <w:sz w:val="22"/>
          <w:szCs w:val="22"/>
          <w:lang w:val="es-ES"/>
        </w:rPr>
      </w:pPr>
      <w:r w:rsidRPr="23BE1444">
        <w:rPr>
          <w:rFonts w:ascii="Arial" w:eastAsia="Arial" w:hAnsi="Arial" w:cs="Arial"/>
          <w:sz w:val="22"/>
          <w:szCs w:val="22"/>
          <w:lang w:val="es-ES"/>
        </w:rPr>
        <w:lastRenderedPageBreak/>
        <w:t>Hasta ahora, conocer el estado de un siniestro requería en muchos casos contactar telefónicamente con la aseguradora. A partir de ahora los clientes pueden acceder a la información cuando lo necesiten y desde cualquier lugar, manteniendo abierta la posibilidad de contar con el apoyo de un agente especializado si así lo requieren.</w:t>
      </w:r>
    </w:p>
    <w:p w14:paraId="03B31BD0" w14:textId="77777777" w:rsidR="00B167C0" w:rsidRPr="00B167C0" w:rsidRDefault="00B167C0" w:rsidP="00B167C0">
      <w:pPr>
        <w:jc w:val="both"/>
        <w:rPr>
          <w:rFonts w:ascii="Arial" w:eastAsia="Arial" w:hAnsi="Arial" w:cs="Arial"/>
          <w:sz w:val="22"/>
          <w:szCs w:val="22"/>
          <w:lang w:val="es-ES"/>
        </w:rPr>
      </w:pPr>
      <w:r w:rsidRPr="23BE1444">
        <w:rPr>
          <w:rFonts w:ascii="Arial" w:eastAsia="Arial" w:hAnsi="Arial" w:cs="Arial"/>
          <w:i/>
          <w:iCs/>
          <w:sz w:val="22"/>
          <w:szCs w:val="22"/>
          <w:lang w:val="es-ES"/>
        </w:rPr>
        <w:t>"Queremos ofrecer a nuestros clientes una experiencia cada vez más sencilla, transparente y adaptada a la forma en que hoy se relacionan con los servicios financieros y aseguradores. Esta nueva funcionalidad les permite acceder a la información de forma inmediata y mantenerse informados en todo momento sobre la evolución de su siniestro",</w:t>
      </w:r>
      <w:r w:rsidRPr="23BE1444">
        <w:rPr>
          <w:rFonts w:ascii="Arial" w:eastAsia="Arial" w:hAnsi="Arial" w:cs="Arial"/>
          <w:sz w:val="22"/>
          <w:szCs w:val="22"/>
          <w:lang w:val="es-ES"/>
        </w:rPr>
        <w:t xml:space="preserve"> señala </w:t>
      </w:r>
      <w:r w:rsidRPr="23BE1444">
        <w:rPr>
          <w:rFonts w:ascii="Arial" w:eastAsia="Arial" w:hAnsi="Arial" w:cs="Arial"/>
          <w:b/>
          <w:bCs/>
          <w:sz w:val="22"/>
          <w:szCs w:val="22"/>
          <w:lang w:val="es-ES"/>
        </w:rPr>
        <w:t>Maite Archaga, CEO de BBVA Allianz.</w:t>
      </w:r>
    </w:p>
    <w:p w14:paraId="093EBFE0" w14:textId="77777777" w:rsidR="00B167C0" w:rsidRPr="00B167C0" w:rsidRDefault="00B167C0" w:rsidP="00B167C0">
      <w:pPr>
        <w:jc w:val="both"/>
        <w:rPr>
          <w:rFonts w:ascii="Arial" w:eastAsia="Arial" w:hAnsi="Arial" w:cs="Arial"/>
          <w:b/>
          <w:bCs/>
          <w:sz w:val="22"/>
          <w:szCs w:val="22"/>
          <w:lang w:val="es-ES"/>
        </w:rPr>
      </w:pPr>
      <w:r w:rsidRPr="23BE1444">
        <w:rPr>
          <w:rFonts w:ascii="Arial" w:eastAsia="Arial" w:hAnsi="Arial" w:cs="Arial"/>
          <w:b/>
          <w:bCs/>
          <w:sz w:val="22"/>
          <w:szCs w:val="22"/>
          <w:lang w:val="es-ES"/>
        </w:rPr>
        <w:t>Tecnología al servicio de una mejor experiencia de cliente</w:t>
      </w:r>
    </w:p>
    <w:p w14:paraId="4753A886" w14:textId="77777777" w:rsidR="00B167C0" w:rsidRPr="00B167C0" w:rsidRDefault="00B167C0" w:rsidP="00B167C0">
      <w:pPr>
        <w:jc w:val="both"/>
        <w:rPr>
          <w:rFonts w:ascii="Arial" w:eastAsia="Arial" w:hAnsi="Arial" w:cs="Arial"/>
          <w:sz w:val="22"/>
          <w:szCs w:val="22"/>
          <w:lang w:val="es-ES"/>
        </w:rPr>
      </w:pPr>
      <w:r w:rsidRPr="23BE1444">
        <w:rPr>
          <w:rFonts w:ascii="Arial" w:eastAsia="Arial" w:hAnsi="Arial" w:cs="Arial"/>
          <w:sz w:val="22"/>
          <w:szCs w:val="22"/>
          <w:lang w:val="es-ES"/>
        </w:rPr>
        <w:t>El lanzamiento de esta funcionalidad forma parte de una estrategia más amplia de transformación de la experiencia de cliente impulsada por BBVA Allianz, basada en la combinación de tecnología, digitalización y atención personalizada.</w:t>
      </w:r>
    </w:p>
    <w:p w14:paraId="6F7506B3" w14:textId="6276EE21" w:rsidR="00B167C0" w:rsidRPr="00B167C0" w:rsidRDefault="68811ECB" w:rsidP="00B167C0">
      <w:pPr>
        <w:jc w:val="both"/>
        <w:rPr>
          <w:rFonts w:ascii="Arial" w:eastAsia="Arial" w:hAnsi="Arial" w:cs="Arial"/>
          <w:sz w:val="22"/>
          <w:szCs w:val="22"/>
          <w:lang w:val="es-ES"/>
        </w:rPr>
      </w:pPr>
      <w:r w:rsidRPr="2F465C8D">
        <w:rPr>
          <w:rFonts w:ascii="Arial" w:eastAsia="Arial" w:hAnsi="Arial" w:cs="Arial"/>
          <w:sz w:val="22"/>
          <w:szCs w:val="22"/>
          <w:lang w:val="es-ES"/>
        </w:rPr>
        <w:t>La</w:t>
      </w:r>
      <w:r w:rsidR="66CA1E5D" w:rsidRPr="2F465C8D">
        <w:rPr>
          <w:rFonts w:ascii="Arial" w:eastAsia="Arial" w:hAnsi="Arial" w:cs="Arial"/>
          <w:sz w:val="22"/>
          <w:szCs w:val="22"/>
          <w:lang w:val="es-ES"/>
        </w:rPr>
        <w:t xml:space="preserve"> compañía utiliza </w:t>
      </w:r>
      <w:r w:rsidRPr="2F465C8D">
        <w:rPr>
          <w:rFonts w:ascii="Arial" w:eastAsia="Arial" w:hAnsi="Arial" w:cs="Arial"/>
          <w:sz w:val="22"/>
          <w:szCs w:val="22"/>
          <w:lang w:val="es-ES"/>
        </w:rPr>
        <w:t xml:space="preserve">ya </w:t>
      </w:r>
      <w:r w:rsidR="66CA1E5D" w:rsidRPr="2F465C8D">
        <w:rPr>
          <w:rFonts w:ascii="Arial" w:eastAsia="Arial" w:hAnsi="Arial" w:cs="Arial"/>
          <w:sz w:val="22"/>
          <w:szCs w:val="22"/>
          <w:lang w:val="es-ES"/>
        </w:rPr>
        <w:t xml:space="preserve">soluciones de inteligencia artificial para gestionar más de </w:t>
      </w:r>
      <w:r w:rsidR="66CA1E5D" w:rsidRPr="2F465C8D">
        <w:rPr>
          <w:rFonts w:ascii="Arial" w:eastAsia="Arial" w:hAnsi="Arial" w:cs="Arial"/>
          <w:b/>
          <w:bCs/>
          <w:sz w:val="22"/>
          <w:szCs w:val="22"/>
          <w:lang w:val="es-ES"/>
        </w:rPr>
        <w:t>2,3 millones de llamadas al año</w:t>
      </w:r>
      <w:r w:rsidR="66CA1E5D" w:rsidRPr="2F465C8D">
        <w:rPr>
          <w:rFonts w:ascii="Arial" w:eastAsia="Arial" w:hAnsi="Arial" w:cs="Arial"/>
          <w:sz w:val="22"/>
          <w:szCs w:val="22"/>
          <w:lang w:val="es-ES"/>
        </w:rPr>
        <w:t xml:space="preserve">, analizando automáticamente las interacciones con el objetivo de mejorar la calidad del servicio, optimizar procesos y liberar tiempo para que los equipos puedan centrarse en aquellas gestiones donde la intervención humana aporta un mayor valor. Estas capacidades tecnológicas apoyan además la gestión de más de </w:t>
      </w:r>
      <w:r w:rsidR="66CA1E5D" w:rsidRPr="2F465C8D">
        <w:rPr>
          <w:rFonts w:ascii="Arial" w:eastAsia="Arial" w:hAnsi="Arial" w:cs="Arial"/>
          <w:b/>
          <w:bCs/>
          <w:sz w:val="22"/>
          <w:szCs w:val="22"/>
          <w:lang w:val="es-ES"/>
        </w:rPr>
        <w:t>250.000 operaciones de servicio anuales</w:t>
      </w:r>
      <w:r w:rsidR="66CA1E5D" w:rsidRPr="2F465C8D">
        <w:rPr>
          <w:rFonts w:ascii="Arial" w:eastAsia="Arial" w:hAnsi="Arial" w:cs="Arial"/>
          <w:sz w:val="22"/>
          <w:szCs w:val="22"/>
          <w:lang w:val="es-ES"/>
        </w:rPr>
        <w:t>, contribuyendo a ofrecer respuestas más ágiles y eficientes.</w:t>
      </w:r>
    </w:p>
    <w:p w14:paraId="18165FD0" w14:textId="77777777" w:rsidR="00B167C0" w:rsidRPr="00B167C0" w:rsidRDefault="66CA1E5D" w:rsidP="00B167C0">
      <w:pPr>
        <w:jc w:val="both"/>
        <w:rPr>
          <w:rFonts w:ascii="Arial" w:eastAsia="Arial" w:hAnsi="Arial" w:cs="Arial"/>
          <w:sz w:val="22"/>
          <w:szCs w:val="22"/>
          <w:lang w:val="es-ES"/>
        </w:rPr>
      </w:pPr>
      <w:r w:rsidRPr="2F465C8D">
        <w:rPr>
          <w:rFonts w:ascii="Arial" w:eastAsia="Arial" w:hAnsi="Arial" w:cs="Arial"/>
          <w:sz w:val="22"/>
          <w:szCs w:val="22"/>
          <w:lang w:val="es-ES"/>
        </w:rPr>
        <w:t>La nueva funcionalidad de seguimiento de siniestros representa un paso más en la evolución de BBVA Allianz hacia modelos de servicio cada vez más digitales, proactivos y conectados.</w:t>
      </w:r>
    </w:p>
    <w:p w14:paraId="0E594621" w14:textId="4AB27165" w:rsidR="009E31AF" w:rsidRDefault="00B167C0" w:rsidP="00B167C0">
      <w:pPr>
        <w:jc w:val="both"/>
        <w:rPr>
          <w:rFonts w:ascii="Arial" w:eastAsia="Arial" w:hAnsi="Arial" w:cs="Arial"/>
          <w:sz w:val="22"/>
          <w:szCs w:val="22"/>
          <w:lang w:val="es-ES"/>
        </w:rPr>
      </w:pPr>
      <w:r w:rsidRPr="23BE1444">
        <w:rPr>
          <w:rFonts w:ascii="Arial" w:eastAsia="Arial" w:hAnsi="Arial" w:cs="Arial"/>
          <w:sz w:val="22"/>
          <w:szCs w:val="22"/>
          <w:lang w:val="es-ES"/>
        </w:rPr>
        <w:t xml:space="preserve">El servicio de seguimiento en tiempo real se estrena </w:t>
      </w:r>
      <w:r w:rsidR="009C37EA" w:rsidRPr="23BE1444">
        <w:rPr>
          <w:rFonts w:ascii="Arial" w:eastAsia="Arial" w:hAnsi="Arial" w:cs="Arial"/>
          <w:sz w:val="22"/>
          <w:szCs w:val="22"/>
          <w:lang w:val="es-ES"/>
        </w:rPr>
        <w:t>en una primera fase</w:t>
      </w:r>
      <w:r w:rsidRPr="23BE1444">
        <w:rPr>
          <w:rFonts w:ascii="Arial" w:eastAsia="Arial" w:hAnsi="Arial" w:cs="Arial"/>
          <w:sz w:val="22"/>
          <w:szCs w:val="22"/>
          <w:lang w:val="es-ES"/>
        </w:rPr>
        <w:t xml:space="preserve"> para los seguros de hogar de BBVA Allianz, con el objetivo de extender progresivamente este tipo de capacidades a otras modalidades de seguro y seguir ampliando las gestiones que los clientes pueden realizar directamente desde la app de BBVA.</w:t>
      </w:r>
    </w:p>
    <w:p w14:paraId="767AFD03" w14:textId="77777777" w:rsidR="009E31AF" w:rsidRDefault="009E31AF" w:rsidP="00B167C0">
      <w:pPr>
        <w:jc w:val="both"/>
        <w:rPr>
          <w:lang w:val="es-ES"/>
        </w:rPr>
      </w:pPr>
    </w:p>
    <w:p w14:paraId="5A97737A" w14:textId="77777777" w:rsidR="009E31AF" w:rsidRPr="0049298E" w:rsidRDefault="009E31AF" w:rsidP="009E31AF">
      <w:pPr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49298E">
        <w:rPr>
          <w:rFonts w:ascii="Arial" w:hAnsi="Arial" w:cs="Arial"/>
          <w:b/>
          <w:bCs/>
          <w:sz w:val="22"/>
          <w:szCs w:val="22"/>
          <w:lang w:val="es-ES"/>
        </w:rPr>
        <w:t>Sobre BBVA Allianz</w:t>
      </w:r>
      <w:r>
        <w:rPr>
          <w:rFonts w:ascii="Arial" w:hAnsi="Arial" w:cs="Arial"/>
          <w:b/>
          <w:bCs/>
          <w:sz w:val="22"/>
          <w:szCs w:val="22"/>
          <w:lang w:val="es-ES"/>
        </w:rPr>
        <w:t xml:space="preserve"> Seguros</w:t>
      </w:r>
    </w:p>
    <w:p w14:paraId="7F35FFA2" w14:textId="77777777" w:rsidR="009E31AF" w:rsidRPr="001517E5" w:rsidRDefault="009E31AF" w:rsidP="009E31AF">
      <w:pPr>
        <w:jc w:val="both"/>
        <w:rPr>
          <w:rFonts w:ascii="Arial" w:hAnsi="Arial" w:cs="Arial"/>
          <w:sz w:val="22"/>
          <w:szCs w:val="22"/>
          <w:lang w:val="es-ES"/>
        </w:rPr>
      </w:pPr>
      <w:r w:rsidRPr="001517E5">
        <w:rPr>
          <w:rFonts w:ascii="Arial" w:hAnsi="Arial" w:cs="Arial"/>
          <w:sz w:val="22"/>
          <w:szCs w:val="22"/>
          <w:lang w:val="es-ES"/>
        </w:rPr>
        <w:t xml:space="preserve">BBVA Allianz Seguros es la </w:t>
      </w:r>
      <w:proofErr w:type="spellStart"/>
      <w:r w:rsidRPr="001517E5">
        <w:rPr>
          <w:rFonts w:ascii="Arial" w:hAnsi="Arial" w:cs="Arial"/>
          <w:sz w:val="22"/>
          <w:szCs w:val="22"/>
          <w:lang w:val="es-ES"/>
        </w:rPr>
        <w:t>joint</w:t>
      </w:r>
      <w:proofErr w:type="spellEnd"/>
      <w:r w:rsidRPr="001517E5">
        <w:rPr>
          <w:rFonts w:ascii="Arial" w:hAnsi="Arial" w:cs="Arial"/>
          <w:sz w:val="22"/>
          <w:szCs w:val="22"/>
          <w:lang w:val="es-ES"/>
        </w:rPr>
        <w:t xml:space="preserve"> venture de bancaseguros entre BBVA y Allianz en España, especializada en seguros de No Vida. La compañía comenzó a operar en diciembre de 2020 y gestiona actualmente una cartera de 1,27 millones de clientes y más de 1,66 millones de pólizas.</w:t>
      </w:r>
    </w:p>
    <w:p w14:paraId="559CF4C5" w14:textId="77777777" w:rsidR="009E31AF" w:rsidRPr="001517E5" w:rsidRDefault="009E31AF" w:rsidP="009E31AF">
      <w:pPr>
        <w:jc w:val="both"/>
        <w:rPr>
          <w:rFonts w:ascii="Arial" w:hAnsi="Arial" w:cs="Arial"/>
          <w:sz w:val="22"/>
          <w:szCs w:val="22"/>
          <w:lang w:val="es-ES"/>
        </w:rPr>
      </w:pPr>
      <w:r w:rsidRPr="001517E5">
        <w:rPr>
          <w:rFonts w:ascii="Arial" w:hAnsi="Arial" w:cs="Arial"/>
          <w:sz w:val="22"/>
          <w:szCs w:val="22"/>
          <w:lang w:val="es-ES"/>
        </w:rPr>
        <w:t>BBVA Allianz ofrece seguros de Hogar, Automóviles, Accidentes, Pymes y Decesos a los clientes de BBVA en España, combinando la capacidad de distribución en canales físicos y digitales de BBVA con la experiencia técnica y la gestión del riesgo de Allianz.</w:t>
      </w:r>
    </w:p>
    <w:p w14:paraId="0166FA6B" w14:textId="77777777" w:rsidR="009E31AF" w:rsidRPr="001517E5" w:rsidRDefault="009E31AF" w:rsidP="009E31AF">
      <w:pPr>
        <w:jc w:val="both"/>
        <w:rPr>
          <w:rFonts w:ascii="Arial" w:hAnsi="Arial" w:cs="Arial"/>
          <w:sz w:val="22"/>
          <w:szCs w:val="22"/>
          <w:lang w:val="es-ES"/>
        </w:rPr>
      </w:pPr>
      <w:r w:rsidRPr="001517E5">
        <w:rPr>
          <w:rFonts w:ascii="Arial" w:hAnsi="Arial" w:cs="Arial"/>
          <w:sz w:val="22"/>
          <w:szCs w:val="22"/>
          <w:lang w:val="es-ES"/>
        </w:rPr>
        <w:t xml:space="preserve">La alianza entre BBVA, uno de los principales grupos financieros en España, y Allianz, uno de los mayores grupos aseguradores del mundo con presencia en más de 70 países, constituye una de las mayores </w:t>
      </w:r>
      <w:proofErr w:type="spellStart"/>
      <w:r w:rsidRPr="001517E5">
        <w:rPr>
          <w:rFonts w:ascii="Arial" w:hAnsi="Arial" w:cs="Arial"/>
          <w:sz w:val="22"/>
          <w:szCs w:val="22"/>
          <w:lang w:val="es-ES"/>
        </w:rPr>
        <w:t>joint</w:t>
      </w:r>
      <w:proofErr w:type="spellEnd"/>
      <w:r w:rsidRPr="001517E5">
        <w:rPr>
          <w:rFonts w:ascii="Arial" w:hAnsi="Arial" w:cs="Arial"/>
          <w:sz w:val="22"/>
          <w:szCs w:val="22"/>
          <w:lang w:val="es-ES"/>
        </w:rPr>
        <w:t xml:space="preserve"> ventures de bancaseguros en el ramo de No Vida en Europa.</w:t>
      </w:r>
    </w:p>
    <w:p w14:paraId="66A18DF8" w14:textId="77777777" w:rsidR="009E31AF" w:rsidRPr="00F464D8" w:rsidRDefault="009E31AF" w:rsidP="009E31AF">
      <w:pPr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F464D8">
        <w:rPr>
          <w:rFonts w:ascii="Arial" w:hAnsi="Arial" w:cs="Arial"/>
          <w:sz w:val="22"/>
          <w:szCs w:val="22"/>
          <w:lang w:val="es-ES"/>
        </w:rPr>
        <w:lastRenderedPageBreak/>
        <w:t>Más información: </w:t>
      </w:r>
      <w:hyperlink r:id="rId11" w:history="1">
        <w:r w:rsidRPr="00F464D8">
          <w:rPr>
            <w:rStyle w:val="Hipervnculo"/>
            <w:rFonts w:ascii="Arial" w:hAnsi="Arial" w:cs="Arial"/>
            <w:b/>
            <w:bCs/>
            <w:sz w:val="22"/>
            <w:szCs w:val="22"/>
            <w:lang w:val="es-ES"/>
          </w:rPr>
          <w:t>www.bbvaallianz.es</w:t>
        </w:r>
      </w:hyperlink>
    </w:p>
    <w:p w14:paraId="5ED05EA6" w14:textId="77777777" w:rsidR="009E31AF" w:rsidRPr="0049298E" w:rsidRDefault="009E31AF" w:rsidP="009E31AF">
      <w:pPr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90B9F6" wp14:editId="643B157E">
                <wp:simplePos x="0" y="0"/>
                <wp:positionH relativeFrom="column">
                  <wp:posOffset>11575</wp:posOffset>
                </wp:positionH>
                <wp:positionV relativeFrom="paragraph">
                  <wp:posOffset>106029</wp:posOffset>
                </wp:positionV>
                <wp:extent cx="5903088" cy="0"/>
                <wp:effectExtent l="0" t="0" r="0" b="0"/>
                <wp:wrapNone/>
                <wp:docPr id="22804522" name="Conector rect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1B9372A-8B1A-4C09-9322-22CE75D8674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08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5645D6" id="Conector rec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8.35pt" to="465.7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</w:p>
    <w:p w14:paraId="7ACBFFC3" w14:textId="77777777" w:rsidR="009E31AF" w:rsidRPr="00A31BA1" w:rsidRDefault="009E31AF" w:rsidP="009E31AF">
      <w:pPr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A31BA1">
        <w:rPr>
          <w:rFonts w:ascii="Arial" w:hAnsi="Arial" w:cs="Arial"/>
          <w:b/>
          <w:bCs/>
          <w:sz w:val="22"/>
          <w:szCs w:val="22"/>
          <w:lang w:val="es-ES"/>
        </w:rPr>
        <w:t>Más información para prensa:</w:t>
      </w:r>
    </w:p>
    <w:p w14:paraId="7F1FC689" w14:textId="77777777" w:rsidR="009E31AF" w:rsidRPr="0049298E" w:rsidRDefault="009E31AF" w:rsidP="009E31AF">
      <w:pPr>
        <w:jc w:val="both"/>
      </w:pPr>
      <w:r w:rsidRPr="226C7082">
        <w:rPr>
          <w:rFonts w:ascii="Arial" w:hAnsi="Arial" w:cs="Arial"/>
          <w:sz w:val="22"/>
          <w:szCs w:val="22"/>
          <w:lang w:val="es-ES"/>
        </w:rPr>
        <w:t>Sonia Rodríguez (Allianz)</w:t>
      </w:r>
      <w:r>
        <w:tab/>
      </w:r>
      <w:r w:rsidRPr="226C7082">
        <w:rPr>
          <w:rFonts w:ascii="Arial" w:hAnsi="Arial" w:cs="Arial"/>
          <w:sz w:val="22"/>
          <w:szCs w:val="22"/>
          <w:lang w:val="es-ES"/>
        </w:rPr>
        <w:t>Tel. 638 93 00 08</w:t>
      </w:r>
    </w:p>
    <w:p w14:paraId="011068CA" w14:textId="77777777" w:rsidR="009E31AF" w:rsidRDefault="009E31AF" w:rsidP="009E31AF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058BADCE" w14:textId="77777777" w:rsidR="009E31AF" w:rsidRPr="00B167C0" w:rsidRDefault="009E31AF" w:rsidP="00B167C0">
      <w:pPr>
        <w:jc w:val="both"/>
        <w:rPr>
          <w:lang w:val="es-ES"/>
        </w:rPr>
      </w:pPr>
    </w:p>
    <w:sectPr w:rsidR="009E31AF" w:rsidRPr="00B167C0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23369" w14:textId="77777777" w:rsidR="0084255C" w:rsidRDefault="0084255C" w:rsidP="00962CE3">
      <w:pPr>
        <w:spacing w:after="0" w:line="240" w:lineRule="auto"/>
      </w:pPr>
      <w:r>
        <w:separator/>
      </w:r>
    </w:p>
  </w:endnote>
  <w:endnote w:type="continuationSeparator" w:id="0">
    <w:p w14:paraId="0D02059F" w14:textId="77777777" w:rsidR="0084255C" w:rsidRDefault="0084255C" w:rsidP="00962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69D2A01" w14:paraId="136458F4" w14:textId="77777777" w:rsidTr="369D2A01">
      <w:trPr>
        <w:trHeight w:val="300"/>
      </w:trPr>
      <w:tc>
        <w:tcPr>
          <w:tcW w:w="3120" w:type="dxa"/>
        </w:tcPr>
        <w:p w14:paraId="0920F389" w14:textId="6F8EDC38" w:rsidR="369D2A01" w:rsidRDefault="369D2A01" w:rsidP="369D2A01">
          <w:pPr>
            <w:ind w:left="-115"/>
          </w:pPr>
        </w:p>
      </w:tc>
      <w:tc>
        <w:tcPr>
          <w:tcW w:w="3120" w:type="dxa"/>
        </w:tcPr>
        <w:p w14:paraId="3644D1B0" w14:textId="6C5C56C7" w:rsidR="369D2A01" w:rsidRDefault="369D2A01" w:rsidP="369D2A01">
          <w:pPr>
            <w:jc w:val="center"/>
          </w:pPr>
        </w:p>
      </w:tc>
      <w:tc>
        <w:tcPr>
          <w:tcW w:w="3120" w:type="dxa"/>
        </w:tcPr>
        <w:p w14:paraId="3E34BC13" w14:textId="3518571C" w:rsidR="369D2A01" w:rsidRDefault="369D2A01" w:rsidP="369D2A01">
          <w:pPr>
            <w:ind w:right="-115"/>
            <w:jc w:val="right"/>
          </w:pPr>
        </w:p>
      </w:tc>
    </w:tr>
  </w:tbl>
  <w:p w14:paraId="3C98A6A1" w14:textId="4F0DDA38" w:rsidR="00962CE3" w:rsidRDefault="00962CE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6A07612" w14:paraId="059852FE" w14:textId="77777777" w:rsidTr="26A07612">
      <w:trPr>
        <w:trHeight w:val="300"/>
      </w:trPr>
      <w:tc>
        <w:tcPr>
          <w:tcW w:w="3120" w:type="dxa"/>
        </w:tcPr>
        <w:p w14:paraId="2E00A3DD" w14:textId="296AC77A" w:rsidR="26A07612" w:rsidRDefault="26A07612" w:rsidP="26A07612">
          <w:pPr>
            <w:pStyle w:val="Encabezado"/>
            <w:ind w:left="-115"/>
          </w:pPr>
        </w:p>
      </w:tc>
      <w:tc>
        <w:tcPr>
          <w:tcW w:w="3120" w:type="dxa"/>
        </w:tcPr>
        <w:p w14:paraId="00142DBC" w14:textId="1FC80998" w:rsidR="26A07612" w:rsidRDefault="26A07612" w:rsidP="26A07612">
          <w:pPr>
            <w:pStyle w:val="Encabezado"/>
            <w:jc w:val="center"/>
          </w:pPr>
        </w:p>
      </w:tc>
      <w:tc>
        <w:tcPr>
          <w:tcW w:w="3120" w:type="dxa"/>
        </w:tcPr>
        <w:p w14:paraId="0F8398D8" w14:textId="79AADD0C" w:rsidR="26A07612" w:rsidRDefault="26A07612" w:rsidP="26A07612">
          <w:pPr>
            <w:pStyle w:val="Encabezado"/>
            <w:ind w:right="-115"/>
            <w:jc w:val="right"/>
          </w:pPr>
        </w:p>
      </w:tc>
    </w:tr>
  </w:tbl>
  <w:p w14:paraId="720F6CEF" w14:textId="2A9644DF" w:rsidR="00EF115E" w:rsidRDefault="00EF11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DBC5B" w14:textId="77777777" w:rsidR="0084255C" w:rsidRDefault="0084255C" w:rsidP="00962CE3">
      <w:pPr>
        <w:spacing w:after="0" w:line="240" w:lineRule="auto"/>
      </w:pPr>
      <w:r>
        <w:separator/>
      </w:r>
    </w:p>
  </w:footnote>
  <w:footnote w:type="continuationSeparator" w:id="0">
    <w:p w14:paraId="4061DFA3" w14:textId="77777777" w:rsidR="0084255C" w:rsidRDefault="0084255C" w:rsidP="00962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69D2A01" w14:paraId="36A6D26B" w14:textId="77777777" w:rsidTr="369D2A01">
      <w:trPr>
        <w:trHeight w:val="300"/>
      </w:trPr>
      <w:tc>
        <w:tcPr>
          <w:tcW w:w="3120" w:type="dxa"/>
        </w:tcPr>
        <w:p w14:paraId="38F140A6" w14:textId="56ED86B8" w:rsidR="369D2A01" w:rsidRDefault="369D2A01" w:rsidP="369D2A01">
          <w:pPr>
            <w:ind w:left="-115"/>
          </w:pPr>
        </w:p>
      </w:tc>
      <w:tc>
        <w:tcPr>
          <w:tcW w:w="3120" w:type="dxa"/>
        </w:tcPr>
        <w:p w14:paraId="4FCD7CCE" w14:textId="1C5CEAB1" w:rsidR="369D2A01" w:rsidRDefault="369D2A01" w:rsidP="369D2A01">
          <w:pPr>
            <w:jc w:val="center"/>
          </w:pPr>
        </w:p>
      </w:tc>
      <w:tc>
        <w:tcPr>
          <w:tcW w:w="3120" w:type="dxa"/>
        </w:tcPr>
        <w:p w14:paraId="425D4935" w14:textId="2D711AF1" w:rsidR="369D2A01" w:rsidRDefault="369D2A01" w:rsidP="369D2A01">
          <w:pPr>
            <w:ind w:right="-115"/>
            <w:jc w:val="right"/>
          </w:pPr>
        </w:p>
      </w:tc>
    </w:tr>
  </w:tbl>
  <w:p w14:paraId="5FFF6FAC" w14:textId="17025E83" w:rsidR="00962CE3" w:rsidRDefault="00962CE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C9DD8" w14:textId="4CCAE984" w:rsidR="00EF115E" w:rsidRDefault="681A2110" w:rsidP="40C7AE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>
      <w:rPr>
        <w:noProof/>
      </w:rPr>
      <w:drawing>
        <wp:inline distT="0" distB="0" distL="0" distR="0" wp14:anchorId="5A2DE560" wp14:editId="725536AC">
          <wp:extent cx="3505200" cy="361950"/>
          <wp:effectExtent l="0" t="0" r="0" b="0"/>
          <wp:docPr id="1129606171" name="drawing">
            <a:extLst xmlns:a="http://schemas.openxmlformats.org/drawingml/2006/main">
              <a:ext uri="{FF2B5EF4-FFF2-40B4-BE49-F238E27FC236}">
                <a16:creationId xmlns:a16="http://schemas.microsoft.com/office/drawing/2014/main" id="{FD859DCE-BB2F-40D7-B9A1-D4D1ED3230C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606171" name="Picture 11296061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0520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5A1D7E" w14:textId="0C1F9446" w:rsidR="00EF115E" w:rsidRDefault="40C7AECB" w:rsidP="40C7AE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Segoe UI" w:eastAsia="Segoe UI" w:hAnsi="Segoe UI" w:cs="Segoe UI"/>
        <w:color w:val="02A5A5"/>
        <w:sz w:val="32"/>
        <w:szCs w:val="32"/>
      </w:rPr>
    </w:pPr>
    <w:r w:rsidRPr="40C7AECB">
      <w:rPr>
        <w:rFonts w:ascii="Aptos" w:eastAsia="Aptos" w:hAnsi="Aptos" w:cs="Aptos"/>
        <w:color w:val="000000" w:themeColor="text1"/>
      </w:rPr>
      <w:t xml:space="preserve">                                                                             </w:t>
    </w:r>
    <w:r w:rsidR="0900A083" w:rsidRPr="0900A083">
      <w:rPr>
        <w:rFonts w:ascii="Aptos" w:eastAsia="Aptos" w:hAnsi="Aptos" w:cs="Aptos"/>
        <w:color w:val="000000" w:themeColor="text1"/>
      </w:rPr>
      <w:t xml:space="preserve">              </w:t>
    </w:r>
    <w:r w:rsidR="39B9D8A8" w:rsidRPr="39B9D8A8">
      <w:rPr>
        <w:rFonts w:ascii="Aptos" w:eastAsia="Aptos" w:hAnsi="Aptos" w:cs="Aptos"/>
        <w:color w:val="000000" w:themeColor="text1"/>
      </w:rPr>
      <w:t xml:space="preserve">                                                     </w:t>
    </w:r>
    <w:r w:rsidRPr="40C7AECB">
      <w:rPr>
        <w:rFonts w:ascii="Segoe UI" w:eastAsia="Segoe UI" w:hAnsi="Segoe UI" w:cs="Segoe UI"/>
        <w:color w:val="02A5A5"/>
        <w:sz w:val="32"/>
        <w:szCs w:val="32"/>
      </w:rPr>
      <w:t xml:space="preserve">Nota de </w:t>
    </w:r>
    <w:proofErr w:type="spellStart"/>
    <w:r w:rsidRPr="40C7AECB">
      <w:rPr>
        <w:rFonts w:ascii="Segoe UI" w:eastAsia="Segoe UI" w:hAnsi="Segoe UI" w:cs="Segoe UI"/>
        <w:color w:val="02A5A5"/>
        <w:sz w:val="32"/>
        <w:szCs w:val="32"/>
      </w:rPr>
      <w:t>prensa</w:t>
    </w:r>
    <w:proofErr w:type="spellEnd"/>
  </w:p>
  <w:p w14:paraId="107F8325" w14:textId="4A79481E" w:rsidR="00EF115E" w:rsidRDefault="00EF115E" w:rsidP="40C7AECB">
    <w:pPr>
      <w:jc w:val="right"/>
      <w:rPr>
        <w:rFonts w:ascii="Segoe UI" w:eastAsia="Segoe UI" w:hAnsi="Segoe UI" w:cs="Segoe UI"/>
        <w:color w:val="072146"/>
        <w:sz w:val="20"/>
        <w:szCs w:val="20"/>
      </w:rPr>
    </w:pPr>
  </w:p>
  <w:p w14:paraId="031842AB" w14:textId="4D330079" w:rsidR="00EF115E" w:rsidRDefault="00BD528B" w:rsidP="40C7AECB">
    <w:pPr>
      <w:jc w:val="right"/>
      <w:rPr>
        <w:rFonts w:ascii="Segoe UI" w:eastAsia="Segoe UI" w:hAnsi="Segoe UI" w:cs="Segoe UI"/>
        <w:color w:val="072146"/>
        <w:sz w:val="20"/>
        <w:szCs w:val="20"/>
      </w:rPr>
    </w:pPr>
    <w:r>
      <w:rPr>
        <w:rFonts w:ascii="Segoe UI" w:eastAsia="Segoe UI" w:hAnsi="Segoe UI" w:cs="Segoe UI"/>
        <w:color w:val="072146"/>
        <w:sz w:val="20"/>
        <w:szCs w:val="20"/>
      </w:rPr>
      <w:t>04</w:t>
    </w:r>
    <w:r w:rsidR="40C7AECB" w:rsidRPr="40C7AECB">
      <w:rPr>
        <w:rFonts w:ascii="Segoe UI" w:eastAsia="Segoe UI" w:hAnsi="Segoe UI" w:cs="Segoe UI"/>
        <w:color w:val="072146"/>
        <w:sz w:val="20"/>
        <w:szCs w:val="20"/>
      </w:rPr>
      <w:t xml:space="preserve">, </w:t>
    </w:r>
    <w:proofErr w:type="spellStart"/>
    <w:r>
      <w:rPr>
        <w:rFonts w:ascii="Segoe UI" w:eastAsia="Segoe UI" w:hAnsi="Segoe UI" w:cs="Segoe UI"/>
        <w:color w:val="072146"/>
        <w:sz w:val="20"/>
        <w:szCs w:val="20"/>
      </w:rPr>
      <w:t>Noviembre</w:t>
    </w:r>
    <w:proofErr w:type="spellEnd"/>
    <w:r w:rsidR="40C7AECB" w:rsidRPr="40C7AECB">
      <w:rPr>
        <w:rFonts w:ascii="Segoe UI" w:eastAsia="Segoe UI" w:hAnsi="Segoe UI" w:cs="Segoe UI"/>
        <w:color w:val="072146"/>
        <w:sz w:val="20"/>
        <w:szCs w:val="20"/>
      </w:rPr>
      <w:t>, 2026</w:t>
    </w:r>
  </w:p>
  <w:p w14:paraId="6C82492E" w14:textId="7949CE14" w:rsidR="00EF115E" w:rsidRDefault="00EF11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13042"/>
    <w:multiLevelType w:val="hybridMultilevel"/>
    <w:tmpl w:val="0DAE0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43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7C0"/>
    <w:rsid w:val="0001367C"/>
    <w:rsid w:val="00021AA3"/>
    <w:rsid w:val="00037B09"/>
    <w:rsid w:val="000550C5"/>
    <w:rsid w:val="00055917"/>
    <w:rsid w:val="000F7075"/>
    <w:rsid w:val="000F7641"/>
    <w:rsid w:val="001030EE"/>
    <w:rsid w:val="00114E89"/>
    <w:rsid w:val="00126B0C"/>
    <w:rsid w:val="00127B4C"/>
    <w:rsid w:val="00173189"/>
    <w:rsid w:val="00176A48"/>
    <w:rsid w:val="001779C0"/>
    <w:rsid w:val="00183072"/>
    <w:rsid w:val="001A13EE"/>
    <w:rsid w:val="001A2361"/>
    <w:rsid w:val="001C75FB"/>
    <w:rsid w:val="001D4DB3"/>
    <w:rsid w:val="001D75BB"/>
    <w:rsid w:val="00210296"/>
    <w:rsid w:val="00226DB3"/>
    <w:rsid w:val="00244B89"/>
    <w:rsid w:val="002E30CD"/>
    <w:rsid w:val="002F5A2E"/>
    <w:rsid w:val="002F60CA"/>
    <w:rsid w:val="00307081"/>
    <w:rsid w:val="00381E3E"/>
    <w:rsid w:val="003A304E"/>
    <w:rsid w:val="003A5F96"/>
    <w:rsid w:val="003E0963"/>
    <w:rsid w:val="00406BC0"/>
    <w:rsid w:val="00415633"/>
    <w:rsid w:val="00415EFF"/>
    <w:rsid w:val="004362AE"/>
    <w:rsid w:val="00441CE5"/>
    <w:rsid w:val="00481F69"/>
    <w:rsid w:val="0049070E"/>
    <w:rsid w:val="00493BCC"/>
    <w:rsid w:val="004B6597"/>
    <w:rsid w:val="004B6F2C"/>
    <w:rsid w:val="004E5EC7"/>
    <w:rsid w:val="004E62DF"/>
    <w:rsid w:val="00500E88"/>
    <w:rsid w:val="00501785"/>
    <w:rsid w:val="00503F68"/>
    <w:rsid w:val="005159EF"/>
    <w:rsid w:val="005206F3"/>
    <w:rsid w:val="0052090D"/>
    <w:rsid w:val="0053729B"/>
    <w:rsid w:val="00574C4A"/>
    <w:rsid w:val="0059095A"/>
    <w:rsid w:val="006166FB"/>
    <w:rsid w:val="00627FED"/>
    <w:rsid w:val="00634093"/>
    <w:rsid w:val="0065480B"/>
    <w:rsid w:val="00673D87"/>
    <w:rsid w:val="0069C900"/>
    <w:rsid w:val="006D467A"/>
    <w:rsid w:val="006D574C"/>
    <w:rsid w:val="006E7331"/>
    <w:rsid w:val="006F0C61"/>
    <w:rsid w:val="006F1000"/>
    <w:rsid w:val="006F32E8"/>
    <w:rsid w:val="00701AD0"/>
    <w:rsid w:val="0071231A"/>
    <w:rsid w:val="007564D0"/>
    <w:rsid w:val="00766D19"/>
    <w:rsid w:val="00777519"/>
    <w:rsid w:val="00782569"/>
    <w:rsid w:val="007926CA"/>
    <w:rsid w:val="007A0AD4"/>
    <w:rsid w:val="007B202E"/>
    <w:rsid w:val="007B7CDA"/>
    <w:rsid w:val="007D3D39"/>
    <w:rsid w:val="007E583D"/>
    <w:rsid w:val="007F73E8"/>
    <w:rsid w:val="00816652"/>
    <w:rsid w:val="00823BE2"/>
    <w:rsid w:val="008269E3"/>
    <w:rsid w:val="0084255C"/>
    <w:rsid w:val="0086110E"/>
    <w:rsid w:val="00893451"/>
    <w:rsid w:val="008B156D"/>
    <w:rsid w:val="008B3C39"/>
    <w:rsid w:val="008B44F6"/>
    <w:rsid w:val="008E3DD0"/>
    <w:rsid w:val="00912F5B"/>
    <w:rsid w:val="00962CE3"/>
    <w:rsid w:val="00970162"/>
    <w:rsid w:val="009738C2"/>
    <w:rsid w:val="00974408"/>
    <w:rsid w:val="009C0C35"/>
    <w:rsid w:val="009C37EA"/>
    <w:rsid w:val="009E31AF"/>
    <w:rsid w:val="00A12285"/>
    <w:rsid w:val="00A149A1"/>
    <w:rsid w:val="00A255A1"/>
    <w:rsid w:val="00A41B01"/>
    <w:rsid w:val="00A71DFF"/>
    <w:rsid w:val="00A9094F"/>
    <w:rsid w:val="00AE6DA9"/>
    <w:rsid w:val="00AF7C5B"/>
    <w:rsid w:val="00AF7D73"/>
    <w:rsid w:val="00B167C0"/>
    <w:rsid w:val="00B54FE1"/>
    <w:rsid w:val="00B56319"/>
    <w:rsid w:val="00B6404F"/>
    <w:rsid w:val="00B64887"/>
    <w:rsid w:val="00B77984"/>
    <w:rsid w:val="00B77BFD"/>
    <w:rsid w:val="00B834DE"/>
    <w:rsid w:val="00BB7283"/>
    <w:rsid w:val="00BD4B41"/>
    <w:rsid w:val="00BD528B"/>
    <w:rsid w:val="00C261A5"/>
    <w:rsid w:val="00C538BD"/>
    <w:rsid w:val="00C56F58"/>
    <w:rsid w:val="00C7102E"/>
    <w:rsid w:val="00C823AA"/>
    <w:rsid w:val="00CA3703"/>
    <w:rsid w:val="00CA654C"/>
    <w:rsid w:val="00CC6E1B"/>
    <w:rsid w:val="00D26191"/>
    <w:rsid w:val="00D32C28"/>
    <w:rsid w:val="00D52B90"/>
    <w:rsid w:val="00D573E7"/>
    <w:rsid w:val="00D757F7"/>
    <w:rsid w:val="00D828AE"/>
    <w:rsid w:val="00DA33DE"/>
    <w:rsid w:val="00DB2302"/>
    <w:rsid w:val="00DE4260"/>
    <w:rsid w:val="00DF7623"/>
    <w:rsid w:val="00E40E98"/>
    <w:rsid w:val="00E70B97"/>
    <w:rsid w:val="00E756C0"/>
    <w:rsid w:val="00EA46AC"/>
    <w:rsid w:val="00EB42F8"/>
    <w:rsid w:val="00EB51B0"/>
    <w:rsid w:val="00EB6CCB"/>
    <w:rsid w:val="00EE290D"/>
    <w:rsid w:val="00EE7802"/>
    <w:rsid w:val="00EF115E"/>
    <w:rsid w:val="00EF2089"/>
    <w:rsid w:val="00EF3454"/>
    <w:rsid w:val="00F16F41"/>
    <w:rsid w:val="00F2092C"/>
    <w:rsid w:val="00F35751"/>
    <w:rsid w:val="00F96EAB"/>
    <w:rsid w:val="00FA5281"/>
    <w:rsid w:val="00FD2901"/>
    <w:rsid w:val="00FD48C2"/>
    <w:rsid w:val="00FE21D4"/>
    <w:rsid w:val="00FF45EF"/>
    <w:rsid w:val="00FF53F6"/>
    <w:rsid w:val="0411063E"/>
    <w:rsid w:val="0900A083"/>
    <w:rsid w:val="0966FA5B"/>
    <w:rsid w:val="0C078D8B"/>
    <w:rsid w:val="1276A0C6"/>
    <w:rsid w:val="1A9FC4B9"/>
    <w:rsid w:val="20B5FAEE"/>
    <w:rsid w:val="232B5C9D"/>
    <w:rsid w:val="23BE1444"/>
    <w:rsid w:val="269F1D00"/>
    <w:rsid w:val="26A07612"/>
    <w:rsid w:val="2A951B50"/>
    <w:rsid w:val="2F465C8D"/>
    <w:rsid w:val="2F77E7FD"/>
    <w:rsid w:val="2FD02D56"/>
    <w:rsid w:val="305B928B"/>
    <w:rsid w:val="33033669"/>
    <w:rsid w:val="347B7949"/>
    <w:rsid w:val="352D4933"/>
    <w:rsid w:val="369D2A01"/>
    <w:rsid w:val="39B9D8A8"/>
    <w:rsid w:val="3E5F8159"/>
    <w:rsid w:val="3E9F6E6D"/>
    <w:rsid w:val="3FF55092"/>
    <w:rsid w:val="4044793F"/>
    <w:rsid w:val="40C7AECB"/>
    <w:rsid w:val="4426C3CE"/>
    <w:rsid w:val="46984D78"/>
    <w:rsid w:val="4723958B"/>
    <w:rsid w:val="4796AFC7"/>
    <w:rsid w:val="494D43E4"/>
    <w:rsid w:val="4A3D9DB3"/>
    <w:rsid w:val="4C572FD2"/>
    <w:rsid w:val="4E279FDD"/>
    <w:rsid w:val="4E2CADFC"/>
    <w:rsid w:val="51000452"/>
    <w:rsid w:val="53344A21"/>
    <w:rsid w:val="597D8485"/>
    <w:rsid w:val="5A389B10"/>
    <w:rsid w:val="5C6F6071"/>
    <w:rsid w:val="5D091574"/>
    <w:rsid w:val="655A942E"/>
    <w:rsid w:val="6634D47C"/>
    <w:rsid w:val="66CA1E5D"/>
    <w:rsid w:val="681A2110"/>
    <w:rsid w:val="685E0398"/>
    <w:rsid w:val="68811ECB"/>
    <w:rsid w:val="6C3CFAD8"/>
    <w:rsid w:val="6C3E58A5"/>
    <w:rsid w:val="6F94D95B"/>
    <w:rsid w:val="7149B0D0"/>
    <w:rsid w:val="78DB8669"/>
    <w:rsid w:val="7A69EDF3"/>
    <w:rsid w:val="7B913404"/>
    <w:rsid w:val="7C1929CD"/>
    <w:rsid w:val="7C6F514F"/>
    <w:rsid w:val="7DCBF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3E565"/>
  <w15:chartTrackingRefBased/>
  <w15:docId w15:val="{10D86DA1-FD01-406D-95A0-576B5B7B6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16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6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6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6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6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6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6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6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6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6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6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6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67C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67C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67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67C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67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67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6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6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6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6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6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67C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167C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67C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6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67C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67C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E31AF"/>
    <w:rPr>
      <w:color w:val="467886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F1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115E"/>
  </w:style>
  <w:style w:type="paragraph" w:styleId="Piedepgina">
    <w:name w:val="footer"/>
    <w:basedOn w:val="Normal"/>
    <w:link w:val="PiedepginaCar"/>
    <w:uiPriority w:val="99"/>
    <w:unhideWhenUsed/>
    <w:rsid w:val="00EF1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115E"/>
  </w:style>
  <w:style w:type="table" w:styleId="Tablaconcuadrcula">
    <w:name w:val="Table Grid"/>
    <w:basedOn w:val="Tablanormal"/>
    <w:uiPriority w:val="59"/>
    <w:rsid w:val="00962C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bvaallianz.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OfOriginal xmlns="9ff07a45-11f5-479e-a441-cd98a86709fe" xsi:nil="true"/>
    <_dlc_DocIdPersistId xmlns="9ff07a45-11f5-479e-a441-cd98a86709fe" xsi:nil="true"/>
    <DossierStatus xmlns="9ff07a45-11f5-479e-a441-cd98a86709fe" xsi:nil="true"/>
    <ContractManagers xmlns="9ff07a45-11f5-479e-a441-cd98a86709fe">
      <UserInfo>
        <DisplayName/>
        <AccountId xsi:nil="true"/>
        <AccountType/>
      </UserInfo>
    </ContractManagers>
    <OutsourcingAgreement xmlns="9ff07a45-11f5-479e-a441-cd98a86709fe" xsi:nil="true"/>
    <ContractDate xmlns="9ff07a45-11f5-479e-a441-cd98a86709fe" xsi:nil="true"/>
    <MaterialContract xmlns="9ff07a45-11f5-479e-a441-cd98a86709fe" xsi:nil="true"/>
    <ExternalContractingParties xmlns="9ff07a45-11f5-479e-a441-cd98a86709fe" xsi:nil="true"/>
    <ContractType xmlns="9ff07a45-11f5-479e-a441-cd98a86709fe" xsi:nil="true"/>
    <ContractExpirationDate xmlns="9ff07a45-11f5-479e-a441-cd98a86709fe" xsi:nil="true"/>
    <DossierOwner xmlns="9ff07a45-11f5-479e-a441-cd98a86709fe">
      <UserInfo>
        <DisplayName/>
        <AccountId xsi:nil="true"/>
        <AccountType/>
      </UserInfo>
    </DossierOwner>
    <nd762d5e82fb490792aa88eaddbb89ea xmlns="9ff07a45-11f5-479e-a441-cd98a86709fe">
      <Terms xmlns="http://schemas.microsoft.com/office/infopath/2007/PartnerControls"/>
    </nd762d5e82fb490792aa88eaddbb89ea>
    <DocumentClass xmlns="9ff07a45-11f5-479e-a441-cd98a86709fe">Empieza por número</DocumentClass>
    <ContractStatus xmlns="9ff07a45-11f5-479e-a441-cd98a86709fe">Sequía</ContractStatus>
    <_dlc_DocId xmlns="9ff07a45-11f5-479e-a441-cd98a86709fe">XU7P7SY2DP3Q-491014520-214996</_dlc_DocId>
    <l6856d4619ce496882360609f9fc1dec xmlns="9ff07a45-11f5-479e-a441-cd98a86709fe">
      <Terms xmlns="http://schemas.microsoft.com/office/infopath/2007/PartnerControls"/>
    </l6856d4619ce496882360609f9fc1dec>
    <TaxCatchAll xmlns="9ff07a45-11f5-479e-a441-cd98a86709fe" xsi:nil="true"/>
    <TaxCatchAllLabel xmlns="9ff07a45-11f5-479e-a441-cd98a86709fe" xsi:nil="true"/>
    <_dlc_DocIdUrl xmlns="9ff07a45-11f5-479e-a441-cd98a86709fe">
      <Url>https://allianzms.sharepoint.com/teams/ES0006-3163019/_layouts/15/DocIdRedir.aspx?ID=XU7P7SY2DP3Q-491014520-214996</Url>
      <Description>XU7P7SY2DP3Q-491014520-214996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04FBE35F569468B297629135C7396" ma:contentTypeVersion="48" ma:contentTypeDescription="Create a new document." ma:contentTypeScope="" ma:versionID="d3d7aa1ce60ca7f9d85bfb75e2edf0c7">
  <xsd:schema xmlns:xsd="http://www.w3.org/2001/XMLSchema" xmlns:xs="http://www.w3.org/2001/XMLSchema" xmlns:p="http://schemas.microsoft.com/office/2006/metadata/properties" xmlns:ns2="9ff07a45-11f5-479e-a441-cd98a86709fe" xmlns:ns3="5d5361cd-dd21-42bb-ace1-e1b72dd4ac82" targetNamespace="http://schemas.microsoft.com/office/2006/metadata/properties" ma:root="true" ma:fieldsID="f6eed1c37449dbbe9271dd54985351d7" ns2:_="" ns3:_="">
    <xsd:import namespace="9ff07a45-11f5-479e-a441-cd98a86709fe"/>
    <xsd:import namespace="5d5361cd-dd21-42bb-ace1-e1b72dd4ac82"/>
    <xsd:element name="properties">
      <xsd:complexType>
        <xsd:sequence>
          <xsd:element name="documentManagement">
            <xsd:complexType>
              <xsd:all>
                <xsd:element ref="ns2:DossierOwner" minOccurs="0"/>
                <xsd:element ref="ns2:DossierStatus" minOccurs="0"/>
                <xsd:element ref="ns2:MaterialContract" minOccurs="0"/>
                <xsd:element ref="ns2:ContractStatus" minOccurs="0"/>
                <xsd:element ref="ns2:OutsourcingAgreement" minOccurs="0"/>
                <xsd:element ref="ns2:ExternalContractingParties" minOccurs="0"/>
                <xsd:element ref="ns2:ContractDate" minOccurs="0"/>
                <xsd:element ref="ns2:PlaceOfOriginal" minOccurs="0"/>
                <xsd:element ref="ns2:ContractManagers" minOccurs="0"/>
                <xsd:element ref="ns2:nd762d5e82fb490792aa88eaddbb89ea" minOccurs="0"/>
                <xsd:element ref="ns2:TaxCatchAll" minOccurs="0"/>
                <xsd:element ref="ns2:TaxCatchAllLabel" minOccurs="0"/>
                <xsd:element ref="ns2:DocumentClass" minOccurs="0"/>
                <xsd:element ref="ns2:l6856d4619ce496882360609f9fc1dec" minOccurs="0"/>
                <xsd:element ref="ns2:_dlc_DocId" minOccurs="0"/>
                <xsd:element ref="ns2:ContractType" minOccurs="0"/>
                <xsd:element ref="ns2:_dlc_DocIdUrl" minOccurs="0"/>
                <xsd:element ref="ns2:_dlc_DocIdPersistId" minOccurs="0"/>
                <xsd:element ref="ns2:ContractExpiration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7a45-11f5-479e-a441-cd98a86709fe" elementFormDefault="qualified">
    <xsd:import namespace="http://schemas.microsoft.com/office/2006/documentManagement/types"/>
    <xsd:import namespace="http://schemas.microsoft.com/office/infopath/2007/PartnerControls"/>
    <xsd:element name="DossierOwner" ma:index="2" nillable="true" ma:displayName="Propietario(s) del expediente" ma:description="Persona(s) propietarias del expediente." ma:internalName="Dossier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Status" ma:index="3" nillable="true" ma:displayName="Estado del expediente" ma:default="" ma:description="Indica el estatus del dosier." ma:format="Dropdown" ma:internalName="DossierStatus" ma:readOnly="false">
      <xsd:simpleType>
        <xsd:restriction base="dms:Choice">
          <xsd:enumeration value="Abierto"/>
          <xsd:enumeration value="Cerrado"/>
        </xsd:restriction>
      </xsd:simpleType>
    </xsd:element>
    <xsd:element name="MaterialContract" ma:index="4" nillable="true" ma:displayName="Contrato con umbral materal" ma:description="Identificar si el contrato tiene umbral material." ma:format="Dropdown" ma:internalName="MaterialContract" ma:readOnly="false">
      <xsd:simpleType>
        <xsd:restriction base="dms:Boolean"/>
      </xsd:simpleType>
    </xsd:element>
    <xsd:element name="ContractStatus" ma:index="6" nillable="true" ma:displayName="Estado del contrato" ma:default="Sequía" ma:description="El estado del contrato." ma:format="Dropdown" ma:internalName="ContractStatus" ma:readOnly="false">
      <xsd:simpleType>
        <xsd:restriction base="dms:Choice">
          <xsd:enumeration value="Sequía"/>
          <xsd:enumeration value="Activo"/>
          <xsd:enumeration value="Terminado"/>
        </xsd:restriction>
      </xsd:simpleType>
    </xsd:element>
    <xsd:element name="OutsourcingAgreement" ma:index="7" nillable="true" ma:displayName="Acuerdo de subcontratacion" ma:description="Si un contrato es de subcontratacion en el sentido de la Politica de Subcontratacion del Grupo, el dosier necesita ser marcado como tal." ma:format="Dropdown" ma:internalName="OutsourcingAgreement" ma:readOnly="false">
      <xsd:simpleType>
        <xsd:restriction base="dms:Boolean"/>
      </xsd:simpleType>
    </xsd:element>
    <xsd:element name="ExternalContractingParties" ma:index="8" nillable="true" ma:displayName="Partes contratantes externas" ma:description="Nombre(s) de las partes contratantes externas." ma:internalName="ExternalContractingParties" ma:readOnly="false">
      <xsd:simpleType>
        <xsd:restriction base="dms:Text"/>
      </xsd:simpleType>
    </xsd:element>
    <xsd:element name="ContractDate" ma:index="9" nillable="true" ma:displayName="Fecha del contrato" ma:description="Fecha de celebración del contrato." ma:format="DateOnly" ma:internalName="ContractDate" ma:readOnly="false">
      <xsd:simpleType>
        <xsd:restriction base="dms:DateTime"/>
      </xsd:simpleType>
    </xsd:element>
    <xsd:element name="PlaceOfOriginal" ma:index="10" nillable="true" ma:displayName="Lugar de la copia original" ma:description="En caso que se mantenga una copia original en papel del contrato, indiquese el lugar donde se conserva aqui." ma:internalName="PlaceOfOriginal" ma:readOnly="false">
      <xsd:simpleType>
        <xsd:restriction base="dms:Text"/>
      </xsd:simpleType>
    </xsd:element>
    <xsd:element name="ContractManagers" ma:index="11" nillable="true" ma:displayName="Gestores del contrato" ma:description="Persona(s) que gestionan el contrato y conocen los detalles." ma:list="UserInfo" ma:internalName="ContractManag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d762d5e82fb490792aa88eaddbb89ea" ma:index="14" nillable="true" ma:taxonomy="true" ma:internalName="nd762d5e82fb490792aa88eaddbb89ea" ma:taxonomyFieldName="Document_Class" ma:displayName="Categoria del documento" ma:readOnly="false" ma:fieldId="{7d762d5e-82fb-4907-92aa-88eaddbb89ea}" ma:sspId="10820af1-e82f-496e-bbcb-d9502914b7b2" ma:termSetId="a8fe5516-3f25-4a18-9fe8-9ec61fcfeb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b2ba0cfd-a642-482e-bf59-faef85f1cda4}" ma:internalName="TaxCatchAll" ma:readOnly="false" ma:showField="CatchAllData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b2ba0cfd-a642-482e-bf59-faef85f1cda4}" ma:internalName="TaxCatchAllLabel" ma:readOnly="false" ma:showField="CatchAllDataLabel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Class" ma:index="18" nillable="true" ma:displayName="Categoria del documento" ma:default="Empieza por número" ma:description="Atributo para clasificar el Documento de acuerdo con la programacion de retencion del documento." ma:format="Dropdown" ma:hidden="true" ma:internalName="DocumentClass" ma:readOnly="false">
      <xsd:simpleType>
        <xsd:restriction base="dms:Text">
          <xsd:maxLength value="255"/>
        </xsd:restriction>
      </xsd:simpleType>
    </xsd:element>
    <xsd:element name="l6856d4619ce496882360609f9fc1dec" ma:index="20" nillable="true" ma:taxonomy="true" ma:internalName="l6856d4619ce496882360609f9fc1dec" ma:taxonomyFieldName="Contract_Type" ma:displayName="Tipo de contrato" ma:readOnly="false" ma:fieldId="{56856d46-19ce-4968-8236-0609f9fc1dec}" ma:sspId="10820af1-e82f-496e-bbcb-d9502914b7b2" ma:termSetId="70805c8f-f58a-429f-b5cb-62c5b6dc55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ContractType" ma:index="25" nillable="true" ma:displayName="Tipo de contrato" ma:description="Atributo para clasificar el contrato. Seleccione un valor entre tipos de contrato estándar o tipos de contrato especiales." ma:format="Dropdown" ma:hidden="true" ma:internalName="ContractType" ma:readOnly="false">
      <xsd:simpleType>
        <xsd:restriction base="dms:Choice">
          <xsd:enumeration value="Tipos de contratos estándar (Seleccione de abajp):"/>
          <xsd:enumeration value="-----------------------"/>
          <xsd:enumeration value="Acuerdo de servicio, Acuerdo de nivel de servicio"/>
          <xsd:enumeration value="Acuerdo de compra (compras y ventas)"/>
          <xsd:enumeration value="Acuerdo de prestamo"/>
          <xsd:enumeration value="Acuerdo de confidencialidad"/>
          <xsd:enumeration value="Acuerdo de cooperación"/>
          <xsd:enumeration value="Carta de Intención, Memorando de Entendimiento"/>
          <xsd:enumeration value="Contrato de seguro"/>
          <xsd:enumeration value="Garantía, Carta de Confort, Carta de Crédito"/>
          <xsd:enumeration value="Otro"/>
          <xsd:enumeration value="-----------------------"/>
          <xsd:enumeration value="Tipos de contratos especiales (Seleccione de abajp):"/>
          <xsd:enumeration value="-----------------------"/>
          <xsd:enumeration value="Acuerdo de empleo"/>
          <xsd:enumeration value="Contrato de alquiler o arrendamiento"/>
          <xsd:enumeration value="Acuerdo de licencia"/>
          <xsd:enumeration value="Acuerdo de privacidad"/>
          <xsd:enumeration value="Acuerdo de agencia (agente vinculado)"/>
          <xsd:enumeration value="Acuerdo de corretaje (corredor)"/>
          <xsd:enumeration value="Acuerdo de distribución"/>
          <xsd:enumeration value="Empleador - Comité de empresa / Acuerdo sindical"/>
          <xsd:enumeration value="Acuerdo de inversión o financiamiento"/>
          <xsd:enumeration value="Contrato de resaseguro"/>
          <xsd:enumeration value="Acuerdo de accionistas"/>
          <xsd:enumeration value="Contrato de control o transferencia de beneficios"/>
          <xsd:enumeration value="Acuerdo de empresa conjunta"/>
          <xsd:enumeration value="Acuerdo de confianza"/>
          <xsd:enumeration value="Acuerdo de compraventa / fusión de acciones o empresas"/>
          <xsd:enumeration value="Contrato con un miembro del Consejo de Administración o del Consejo de Supervisión"/>
        </xsd:restriction>
      </xsd:simpleType>
    </xsd:element>
    <xsd:element name="_dlc_DocIdUrl" ma:index="26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ContractExpirationDate" ma:index="28" nillable="true" ma:displayName="Fecha de expiración" ma:description="Fecha cuando expira/ finaliza el contrato." ma:format="DateOnly" ma:hidden="true" ma:internalName="Contrac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361cd-dd21-42bb-ace1-e1b72dd4ac8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7B2B03-A71A-407C-803E-E604DC5767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1883E2-8DDF-49B5-AED5-7CB41A89293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03B27C7-F341-4E56-8010-D1598C8878EA}">
  <ds:schemaRefs>
    <ds:schemaRef ds:uri="http://schemas.microsoft.com/office/2006/metadata/properties"/>
    <ds:schemaRef ds:uri="http://schemas.microsoft.com/office/infopath/2007/PartnerControls"/>
    <ds:schemaRef ds:uri="9ff07a45-11f5-479e-a441-cd98a86709fe"/>
  </ds:schemaRefs>
</ds:datastoreItem>
</file>

<file path=customXml/itemProps4.xml><?xml version="1.0" encoding="utf-8"?>
<ds:datastoreItem xmlns:ds="http://schemas.openxmlformats.org/officeDocument/2006/customXml" ds:itemID="{C7C3DAC7-A4C7-4196-9FB8-5A43EB521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7a45-11f5-479e-a441-cd98a86709fe"/>
    <ds:schemaRef ds:uri="5d5361cd-dd21-42bb-ace1-e1b72dd4a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778</Words>
  <Characters>4233</Characters>
  <Application>Microsoft Office Word</Application>
  <DocSecurity>0</DocSecurity>
  <Lines>70</Lines>
  <Paragraphs>26</Paragraphs>
  <ScaleCrop>false</ScaleCrop>
  <Company>Allianz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 Mosquera, Sonia (Allianz Compania de Seguros y Reaseguros S.A.)</dc:creator>
  <cp:keywords/>
  <dc:description/>
  <cp:lastModifiedBy>Rodriguez Mosquera, Sonia (Allianz Compania de Seguros y Reaseguros S.A.)</cp:lastModifiedBy>
  <cp:revision>4</cp:revision>
  <dcterms:created xsi:type="dcterms:W3CDTF">2026-11-03T10:51:00Z</dcterms:created>
  <dcterms:modified xsi:type="dcterms:W3CDTF">2026-11-03T16:00:00Z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5f591a-3248-43e9-9b70-1ad50135772d_Enabled">
    <vt:lpwstr>true</vt:lpwstr>
  </property>
  <property fmtid="{D5CDD505-2E9C-101B-9397-08002B2CF9AE}" pid="3" name="MSIP_Label_ce5f591a-3248-43e9-9b70-1ad50135772d_SetDate">
    <vt:lpwstr>2026-10-27T11:50:39Z</vt:lpwstr>
  </property>
  <property fmtid="{D5CDD505-2E9C-101B-9397-08002B2CF9AE}" pid="4" name="MSIP_Label_ce5f591a-3248-43e9-9b70-1ad50135772d_Method">
    <vt:lpwstr>Privileged</vt:lpwstr>
  </property>
  <property fmtid="{D5CDD505-2E9C-101B-9397-08002B2CF9AE}" pid="5" name="MSIP_Label_ce5f591a-3248-43e9-9b70-1ad50135772d_Name">
    <vt:lpwstr>ce5f591a-3248-43e9-9b70-1ad50135772d</vt:lpwstr>
  </property>
  <property fmtid="{D5CDD505-2E9C-101B-9397-08002B2CF9AE}" pid="6" name="MSIP_Label_ce5f591a-3248-43e9-9b70-1ad50135772d_SiteId">
    <vt:lpwstr>6e06e42d-6925-47c6-b9e7-9581c7ca302a</vt:lpwstr>
  </property>
  <property fmtid="{D5CDD505-2E9C-101B-9397-08002B2CF9AE}" pid="7" name="MSIP_Label_ce5f591a-3248-43e9-9b70-1ad50135772d_ActionId">
    <vt:lpwstr>6093d75b-4a43-426c-b6b0-07174daf5806</vt:lpwstr>
  </property>
  <property fmtid="{D5CDD505-2E9C-101B-9397-08002B2CF9AE}" pid="8" name="MSIP_Label_ce5f591a-3248-43e9-9b70-1ad50135772d_ContentBits">
    <vt:lpwstr>0</vt:lpwstr>
  </property>
  <property fmtid="{D5CDD505-2E9C-101B-9397-08002B2CF9AE}" pid="9" name="MSIP_Label_ce5f591a-3248-43e9-9b70-1ad50135772d_Tag">
    <vt:lpwstr>10, 0, 1, 1</vt:lpwstr>
  </property>
  <property fmtid="{D5CDD505-2E9C-101B-9397-08002B2CF9AE}" pid="10" name="ContentTypeId">
    <vt:lpwstr>0x010100CB304FBE35F569468B297629135C7396</vt:lpwstr>
  </property>
  <property fmtid="{D5CDD505-2E9C-101B-9397-08002B2CF9AE}" pid="11" name="_dlc_DocIdItemGuid">
    <vt:lpwstr>f03faf93-c2c7-4d25-ae9e-62398bf744c4</vt:lpwstr>
  </property>
  <property fmtid="{D5CDD505-2E9C-101B-9397-08002B2CF9AE}" pid="12" name="DossierDepartment">
    <vt:lpwstr/>
  </property>
  <property fmtid="{D5CDD505-2E9C-101B-9397-08002B2CF9AE}" pid="13" name="AllianzContractingParties">
    <vt:lpwstr/>
  </property>
  <property fmtid="{D5CDD505-2E9C-101B-9397-08002B2CF9AE}" pid="14" name="MediaServiceImageTags">
    <vt:lpwstr/>
  </property>
  <property fmtid="{D5CDD505-2E9C-101B-9397-08002B2CF9AE}" pid="15" name="Contract_Type">
    <vt:lpwstr/>
  </property>
  <property fmtid="{D5CDD505-2E9C-101B-9397-08002B2CF9AE}" pid="16" name="b0fe84444e894ab98172082a3d0e58f8">
    <vt:lpwstr/>
  </property>
  <property fmtid="{D5CDD505-2E9C-101B-9397-08002B2CF9AE}" pid="17" name="Document_Class">
    <vt:lpwstr/>
  </property>
  <property fmtid="{D5CDD505-2E9C-101B-9397-08002B2CF9AE}" pid="18" name="iccd162ff52447b49ab8f5fd8f2cec1e">
    <vt:lpwstr/>
  </property>
  <property fmtid="{D5CDD505-2E9C-101B-9397-08002B2CF9AE}" pid="19" name="lcf76f155ced4ddcb4097134ff3c332f">
    <vt:lpwstr/>
  </property>
  <property fmtid="{D5CDD505-2E9C-101B-9397-08002B2CF9AE}" pid="20" name="docLang">
    <vt:lpwstr>es</vt:lpwstr>
  </property>
</Properties>
</file>