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198D4" w14:textId="1ECE9ED0" w:rsidR="00302332" w:rsidRDefault="00302332" w:rsidP="56ADF488">
      <w:pPr>
        <w:spacing w:after="0" w:line="240" w:lineRule="auto"/>
        <w:rPr>
          <w:rFonts w:ascii="Segoe UI" w:eastAsia="Segoe UI" w:hAnsi="Segoe UI" w:cs="Segoe UI"/>
          <w:color w:val="000000" w:themeColor="text1"/>
          <w:sz w:val="28"/>
          <w:szCs w:val="28"/>
        </w:rPr>
      </w:pPr>
    </w:p>
    <w:p w14:paraId="4110F631" w14:textId="5F2A5CB0" w:rsidR="00302332" w:rsidRDefault="73BDC82A" w:rsidP="56ADF488">
      <w:pPr>
        <w:spacing w:after="0" w:line="240" w:lineRule="auto"/>
        <w:rPr>
          <w:rFonts w:ascii="Segoe UI" w:eastAsia="Segoe UI" w:hAnsi="Segoe UI" w:cs="Segoe UI"/>
          <w:color w:val="000000" w:themeColor="text1"/>
          <w:sz w:val="28"/>
          <w:szCs w:val="28"/>
        </w:rPr>
      </w:pPr>
      <w:r w:rsidRPr="56ADF488">
        <w:rPr>
          <w:rFonts w:ascii="Segoe UI" w:eastAsia="Segoe UI" w:hAnsi="Segoe UI" w:cs="Segoe UI"/>
          <w:color w:val="000000" w:themeColor="text1"/>
          <w:sz w:val="28"/>
          <w:szCs w:val="28"/>
        </w:rPr>
        <w:t>Allianz Seguros</w:t>
      </w:r>
    </w:p>
    <w:p w14:paraId="509640FC" w14:textId="713302E0" w:rsidR="00302332" w:rsidRDefault="00302332" w:rsidP="56ADF488">
      <w:pPr>
        <w:tabs>
          <w:tab w:val="center" w:pos="4536"/>
          <w:tab w:val="right" w:pos="9072"/>
        </w:tabs>
        <w:spacing w:after="0" w:line="240" w:lineRule="auto"/>
        <w:rPr>
          <w:rFonts w:ascii="Arial" w:eastAsia="Arial" w:hAnsi="Arial" w:cs="Arial"/>
          <w:color w:val="000000" w:themeColor="text1"/>
          <w:sz w:val="12"/>
          <w:szCs w:val="12"/>
        </w:rPr>
      </w:pPr>
    </w:p>
    <w:p w14:paraId="6EC7C8C3" w14:textId="0BE5F671" w:rsidR="00302332" w:rsidRDefault="73BDC82A" w:rsidP="56ADF488">
      <w:pPr>
        <w:tabs>
          <w:tab w:val="center" w:pos="4536"/>
          <w:tab w:val="right" w:pos="9072"/>
        </w:tabs>
        <w:spacing w:after="0" w:line="240" w:lineRule="auto"/>
        <w:rPr>
          <w:rFonts w:ascii="Arial" w:eastAsia="Arial" w:hAnsi="Arial" w:cs="Arial"/>
          <w:color w:val="000000" w:themeColor="text1"/>
          <w:sz w:val="20"/>
          <w:szCs w:val="20"/>
        </w:rPr>
      </w:pPr>
      <w:r w:rsidRPr="56ADF488">
        <w:rPr>
          <w:rFonts w:ascii="Arial" w:eastAsia="Arial" w:hAnsi="Arial" w:cs="Arial"/>
          <w:color w:val="000000" w:themeColor="text1"/>
          <w:sz w:val="20"/>
          <w:szCs w:val="20"/>
        </w:rPr>
        <w:t>Comunicación Corporativa</w:t>
      </w:r>
    </w:p>
    <w:p w14:paraId="346EF966" w14:textId="18369783" w:rsidR="00302332" w:rsidRDefault="00302332" w:rsidP="56ADF488">
      <w:pPr>
        <w:tabs>
          <w:tab w:val="center" w:pos="4536"/>
          <w:tab w:val="right" w:pos="9072"/>
        </w:tabs>
        <w:spacing w:after="0" w:line="240" w:lineRule="auto"/>
        <w:rPr>
          <w:rFonts w:ascii="Arial" w:eastAsia="Arial" w:hAnsi="Arial" w:cs="Arial"/>
          <w:color w:val="000000" w:themeColor="text1"/>
          <w:sz w:val="40"/>
          <w:szCs w:val="40"/>
        </w:rPr>
      </w:pPr>
    </w:p>
    <w:p w14:paraId="02F9B323" w14:textId="3F0A2219" w:rsidR="00302332" w:rsidRDefault="73BDC82A" w:rsidP="56ADF488">
      <w:pPr>
        <w:tabs>
          <w:tab w:val="center" w:pos="4536"/>
          <w:tab w:val="right" w:pos="9072"/>
        </w:tabs>
        <w:spacing w:after="0" w:line="240" w:lineRule="auto"/>
        <w:rPr>
          <w:rFonts w:ascii="Arial" w:eastAsia="Arial" w:hAnsi="Arial" w:cs="Arial"/>
          <w:color w:val="7F7F7F" w:themeColor="text1" w:themeTint="80"/>
          <w:sz w:val="44"/>
          <w:szCs w:val="44"/>
        </w:rPr>
      </w:pPr>
      <w:r w:rsidRPr="56ADF488">
        <w:rPr>
          <w:rFonts w:ascii="Arial" w:eastAsia="Arial" w:hAnsi="Arial" w:cs="Arial"/>
          <w:color w:val="7F7F7F" w:themeColor="text1" w:themeTint="80"/>
          <w:sz w:val="44"/>
          <w:szCs w:val="44"/>
        </w:rPr>
        <w:t>Nota de Prensa</w:t>
      </w:r>
    </w:p>
    <w:p w14:paraId="262A4D86" w14:textId="5DB398FC" w:rsidR="00302332" w:rsidRDefault="00302332" w:rsidP="56ADF488">
      <w:pPr>
        <w:spacing w:after="0" w:line="240" w:lineRule="auto"/>
        <w:ind w:firstLine="708"/>
        <w:rPr>
          <w:rFonts w:ascii="Arial" w:eastAsia="Arial" w:hAnsi="Arial" w:cs="Arial"/>
          <w:color w:val="000000" w:themeColor="text1"/>
          <w:sz w:val="24"/>
          <w:szCs w:val="24"/>
        </w:rPr>
      </w:pPr>
    </w:p>
    <w:p w14:paraId="27E9A367" w14:textId="528FC6BD" w:rsidR="00302332" w:rsidRDefault="00302332" w:rsidP="56ADF488">
      <w:pPr>
        <w:spacing w:after="0" w:line="240" w:lineRule="auto"/>
        <w:ind w:left="540" w:right="283" w:hanging="682"/>
        <w:jc w:val="center"/>
        <w:rPr>
          <w:rFonts w:ascii="Arial" w:eastAsia="Arial" w:hAnsi="Arial" w:cs="Arial"/>
          <w:color w:val="000000" w:themeColor="text1"/>
          <w:sz w:val="32"/>
          <w:szCs w:val="32"/>
        </w:rPr>
      </w:pPr>
    </w:p>
    <w:p w14:paraId="204F7D4C" w14:textId="147C14BC" w:rsidR="00302332" w:rsidRDefault="73BDC82A" w:rsidP="56ADF488">
      <w:pPr>
        <w:spacing w:after="0" w:line="240" w:lineRule="auto"/>
        <w:ind w:left="540" w:right="567"/>
        <w:jc w:val="center"/>
        <w:rPr>
          <w:rFonts w:ascii="Arial" w:eastAsia="Arial" w:hAnsi="Arial" w:cs="Arial"/>
          <w:b/>
          <w:bCs/>
          <w:color w:val="000000" w:themeColor="text1"/>
          <w:sz w:val="32"/>
          <w:szCs w:val="32"/>
        </w:rPr>
      </w:pPr>
      <w:r w:rsidRPr="56ADF488">
        <w:rPr>
          <w:rFonts w:ascii="Arial" w:eastAsia="Arial" w:hAnsi="Arial" w:cs="Arial"/>
          <w:b/>
          <w:bCs/>
          <w:color w:val="000000" w:themeColor="text1"/>
          <w:sz w:val="32"/>
          <w:szCs w:val="32"/>
        </w:rPr>
        <w:t xml:space="preserve">Allianz </w:t>
      </w:r>
      <w:r w:rsidR="6CB5D66D" w:rsidRPr="56ADF488">
        <w:rPr>
          <w:rFonts w:ascii="Arial" w:eastAsia="Arial" w:hAnsi="Arial" w:cs="Arial"/>
          <w:b/>
          <w:bCs/>
          <w:color w:val="000000" w:themeColor="text1"/>
          <w:sz w:val="32"/>
          <w:szCs w:val="32"/>
        </w:rPr>
        <w:t xml:space="preserve">alcanza el séptimo puesto </w:t>
      </w:r>
      <w:r w:rsidRPr="56ADF488">
        <w:rPr>
          <w:rFonts w:ascii="Arial" w:eastAsia="Arial" w:hAnsi="Arial" w:cs="Arial"/>
          <w:b/>
          <w:bCs/>
          <w:color w:val="000000" w:themeColor="text1"/>
          <w:sz w:val="32"/>
          <w:szCs w:val="32"/>
        </w:rPr>
        <w:t xml:space="preserve">entre las mejores empresas para trabajar </w:t>
      </w:r>
      <w:r w:rsidR="00BF574D">
        <w:rPr>
          <w:rFonts w:ascii="Arial" w:eastAsia="Arial" w:hAnsi="Arial" w:cs="Arial"/>
          <w:b/>
          <w:bCs/>
          <w:color w:val="000000" w:themeColor="text1"/>
          <w:sz w:val="32"/>
          <w:szCs w:val="32"/>
        </w:rPr>
        <w:t>de Top Employers</w:t>
      </w:r>
    </w:p>
    <w:p w14:paraId="2E93FEF9" w14:textId="5D945AFA" w:rsidR="00302332" w:rsidRDefault="00302332" w:rsidP="56ADF488">
      <w:pPr>
        <w:spacing w:after="0" w:line="240" w:lineRule="auto"/>
        <w:ind w:left="540" w:right="944"/>
        <w:rPr>
          <w:rFonts w:ascii="Arial" w:eastAsia="Arial" w:hAnsi="Arial" w:cs="Arial"/>
          <w:color w:val="000000" w:themeColor="text1"/>
          <w:sz w:val="32"/>
          <w:szCs w:val="32"/>
        </w:rPr>
      </w:pPr>
    </w:p>
    <w:p w14:paraId="7E13E9F2" w14:textId="4EF53EBC" w:rsidR="00302332" w:rsidRDefault="73BDC82A" w:rsidP="56ADF488">
      <w:pPr>
        <w:pStyle w:val="Prrafodelista"/>
        <w:numPr>
          <w:ilvl w:val="0"/>
          <w:numId w:val="1"/>
        </w:numPr>
        <w:spacing w:after="0" w:line="360" w:lineRule="auto"/>
        <w:ind w:right="566"/>
        <w:jc w:val="both"/>
        <w:rPr>
          <w:rFonts w:eastAsiaTheme="minorEastAsia"/>
          <w:b/>
          <w:bCs/>
          <w:color w:val="000000" w:themeColor="text1"/>
          <w:sz w:val="24"/>
          <w:szCs w:val="24"/>
        </w:rPr>
      </w:pPr>
      <w:r w:rsidRPr="56ADF488">
        <w:rPr>
          <w:rFonts w:ascii="Arial" w:eastAsia="Arial" w:hAnsi="Arial" w:cs="Arial"/>
          <w:b/>
          <w:bCs/>
          <w:color w:val="000000" w:themeColor="text1"/>
          <w:sz w:val="24"/>
          <w:szCs w:val="24"/>
        </w:rPr>
        <w:t xml:space="preserve">La certificación de “Top Employer” acredita que Allianz </w:t>
      </w:r>
      <w:r w:rsidR="0030442A">
        <w:rPr>
          <w:rFonts w:ascii="Arial" w:eastAsia="Arial" w:hAnsi="Arial" w:cs="Arial"/>
          <w:b/>
          <w:bCs/>
          <w:color w:val="000000" w:themeColor="text1"/>
          <w:sz w:val="24"/>
          <w:szCs w:val="24"/>
        </w:rPr>
        <w:t xml:space="preserve">Seguros </w:t>
      </w:r>
      <w:r w:rsidRPr="56ADF488">
        <w:rPr>
          <w:rFonts w:ascii="Arial" w:eastAsia="Arial" w:hAnsi="Arial" w:cs="Arial"/>
          <w:b/>
          <w:bCs/>
          <w:color w:val="000000" w:themeColor="text1"/>
          <w:sz w:val="24"/>
          <w:szCs w:val="24"/>
        </w:rPr>
        <w:t>ofrece las mejores condiciones a sus empleados/as</w:t>
      </w:r>
    </w:p>
    <w:p w14:paraId="66655964" w14:textId="453DE5A5" w:rsidR="00302332" w:rsidRPr="0030442A" w:rsidRDefault="0030442A" w:rsidP="56ADF488">
      <w:pPr>
        <w:pStyle w:val="Prrafodelista"/>
        <w:numPr>
          <w:ilvl w:val="0"/>
          <w:numId w:val="1"/>
        </w:numPr>
        <w:spacing w:after="0" w:line="360" w:lineRule="auto"/>
        <w:ind w:right="566"/>
        <w:rPr>
          <w:rFonts w:eastAsiaTheme="minorEastAsia"/>
          <w:b/>
          <w:bCs/>
          <w:color w:val="000000" w:themeColor="text1"/>
          <w:sz w:val="24"/>
          <w:szCs w:val="24"/>
        </w:rPr>
      </w:pPr>
      <w:r>
        <w:rPr>
          <w:rFonts w:ascii="Arial" w:eastAsia="Arial" w:hAnsi="Arial" w:cs="Arial"/>
          <w:b/>
          <w:bCs/>
          <w:color w:val="000000" w:themeColor="text1"/>
          <w:sz w:val="24"/>
          <w:szCs w:val="24"/>
        </w:rPr>
        <w:t>La compañía</w:t>
      </w:r>
      <w:r w:rsidR="73BDC82A" w:rsidRPr="0030442A">
        <w:rPr>
          <w:rFonts w:ascii="Arial" w:eastAsia="Arial" w:hAnsi="Arial" w:cs="Arial"/>
          <w:b/>
          <w:bCs/>
          <w:color w:val="000000" w:themeColor="text1"/>
          <w:sz w:val="24"/>
          <w:szCs w:val="24"/>
        </w:rPr>
        <w:t xml:space="preserve"> </w:t>
      </w:r>
      <w:r w:rsidR="00CF0827">
        <w:rPr>
          <w:rFonts w:ascii="Arial" w:eastAsia="Arial" w:hAnsi="Arial" w:cs="Arial"/>
          <w:b/>
          <w:bCs/>
          <w:color w:val="000000" w:themeColor="text1"/>
          <w:sz w:val="24"/>
          <w:szCs w:val="24"/>
        </w:rPr>
        <w:t>obtiene la mejor puntuación hasta la fecha este 2022, y se certifica como Top Employer</w:t>
      </w:r>
      <w:r w:rsidR="6221A583" w:rsidRPr="0030442A">
        <w:rPr>
          <w:rFonts w:ascii="Arial" w:eastAsia="Arial" w:hAnsi="Arial" w:cs="Arial"/>
          <w:b/>
          <w:bCs/>
          <w:color w:val="000000" w:themeColor="text1"/>
          <w:sz w:val="24"/>
          <w:szCs w:val="24"/>
        </w:rPr>
        <w:t xml:space="preserve"> por </w:t>
      </w:r>
      <w:r w:rsidR="73BDC82A" w:rsidRPr="0030442A">
        <w:rPr>
          <w:rFonts w:ascii="Arial" w:eastAsia="Arial" w:hAnsi="Arial" w:cs="Arial"/>
          <w:b/>
          <w:bCs/>
          <w:color w:val="000000" w:themeColor="text1"/>
          <w:sz w:val="24"/>
          <w:szCs w:val="24"/>
        </w:rPr>
        <w:t>cuarto año consecutivo</w:t>
      </w:r>
      <w:r w:rsidR="73BDC82A" w:rsidRPr="56ADF488">
        <w:rPr>
          <w:rFonts w:ascii="Arial" w:eastAsia="Arial" w:hAnsi="Arial" w:cs="Arial"/>
          <w:b/>
          <w:bCs/>
          <w:color w:val="000000" w:themeColor="text1"/>
          <w:sz w:val="24"/>
          <w:szCs w:val="24"/>
        </w:rPr>
        <w:t xml:space="preserve"> </w:t>
      </w:r>
    </w:p>
    <w:p w14:paraId="411BCBA7" w14:textId="136038DE" w:rsidR="00302332" w:rsidRDefault="0981DE01" w:rsidP="56ADF488">
      <w:pPr>
        <w:pStyle w:val="Prrafodelista"/>
        <w:numPr>
          <w:ilvl w:val="0"/>
          <w:numId w:val="1"/>
        </w:numPr>
        <w:spacing w:after="0" w:line="360" w:lineRule="auto"/>
        <w:ind w:right="566"/>
        <w:rPr>
          <w:rFonts w:eastAsiaTheme="minorEastAsia"/>
          <w:color w:val="000000" w:themeColor="text1"/>
          <w:sz w:val="24"/>
          <w:szCs w:val="24"/>
        </w:rPr>
      </w:pPr>
      <w:r w:rsidRPr="56ADF488">
        <w:rPr>
          <w:rFonts w:ascii="Arial" w:eastAsia="Arial" w:hAnsi="Arial" w:cs="Arial"/>
          <w:b/>
          <w:bCs/>
          <w:color w:val="000000" w:themeColor="text1"/>
          <w:sz w:val="24"/>
          <w:szCs w:val="24"/>
        </w:rPr>
        <w:t xml:space="preserve">Fiel a su estrategia de marca empleadora “We care for tomorrow”, la compañía ha destacado especialmente por </w:t>
      </w:r>
      <w:r w:rsidR="3CB1C2A9" w:rsidRPr="56ADF488">
        <w:rPr>
          <w:rFonts w:ascii="Arial" w:eastAsia="Arial" w:hAnsi="Arial" w:cs="Arial"/>
          <w:b/>
          <w:bCs/>
          <w:color w:val="000000" w:themeColor="text1"/>
          <w:sz w:val="24"/>
          <w:szCs w:val="24"/>
        </w:rPr>
        <w:t>sus</w:t>
      </w:r>
      <w:r w:rsidRPr="56ADF488">
        <w:rPr>
          <w:rFonts w:ascii="Arial" w:eastAsia="Arial" w:hAnsi="Arial" w:cs="Arial"/>
          <w:b/>
          <w:bCs/>
          <w:color w:val="000000" w:themeColor="text1"/>
          <w:sz w:val="24"/>
          <w:szCs w:val="24"/>
        </w:rPr>
        <w:t xml:space="preserve"> prácticas de bienestar y desarrollo</w:t>
      </w:r>
    </w:p>
    <w:p w14:paraId="7ADF9F89" w14:textId="52FBE121" w:rsidR="00302332" w:rsidRDefault="00302332" w:rsidP="56ADF488">
      <w:pPr>
        <w:spacing w:after="0" w:line="360" w:lineRule="auto"/>
        <w:ind w:left="540" w:right="941"/>
        <w:rPr>
          <w:rFonts w:ascii="Arial" w:eastAsia="Arial" w:hAnsi="Arial" w:cs="Arial"/>
          <w:color w:val="000000" w:themeColor="text1"/>
          <w:sz w:val="24"/>
          <w:szCs w:val="24"/>
        </w:rPr>
      </w:pPr>
    </w:p>
    <w:p w14:paraId="0D928315" w14:textId="6DFD9225" w:rsidR="00302332" w:rsidRDefault="73BDC82A" w:rsidP="56ADF488">
      <w:pPr>
        <w:spacing w:after="0" w:line="276" w:lineRule="auto"/>
        <w:ind w:right="425"/>
        <w:jc w:val="both"/>
        <w:rPr>
          <w:rFonts w:ascii="Arial" w:eastAsia="Arial" w:hAnsi="Arial" w:cs="Arial"/>
          <w:color w:val="000000" w:themeColor="text1"/>
        </w:rPr>
      </w:pPr>
      <w:r w:rsidRPr="56ADF488">
        <w:rPr>
          <w:rFonts w:ascii="Arial" w:eastAsia="Arial" w:hAnsi="Arial" w:cs="Arial"/>
          <w:b/>
          <w:bCs/>
          <w:color w:val="000000" w:themeColor="text1"/>
        </w:rPr>
        <w:t>Madrid, 2</w:t>
      </w:r>
      <w:r w:rsidR="4F571516" w:rsidRPr="56ADF488">
        <w:rPr>
          <w:rFonts w:ascii="Arial" w:eastAsia="Arial" w:hAnsi="Arial" w:cs="Arial"/>
          <w:b/>
          <w:bCs/>
          <w:color w:val="000000" w:themeColor="text1"/>
        </w:rPr>
        <w:t>0</w:t>
      </w:r>
      <w:r w:rsidRPr="56ADF488">
        <w:rPr>
          <w:rFonts w:ascii="Arial" w:eastAsia="Arial" w:hAnsi="Arial" w:cs="Arial"/>
          <w:b/>
          <w:bCs/>
          <w:color w:val="000000" w:themeColor="text1"/>
        </w:rPr>
        <w:t xml:space="preserve"> de enero de 202</w:t>
      </w:r>
      <w:r w:rsidR="1F82DBF4" w:rsidRPr="56ADF488">
        <w:rPr>
          <w:rFonts w:ascii="Arial" w:eastAsia="Arial" w:hAnsi="Arial" w:cs="Arial"/>
          <w:b/>
          <w:bCs/>
          <w:color w:val="000000" w:themeColor="text1"/>
        </w:rPr>
        <w:t>2</w:t>
      </w:r>
      <w:r w:rsidRPr="56ADF488">
        <w:rPr>
          <w:rFonts w:ascii="Arial" w:eastAsia="Arial" w:hAnsi="Arial" w:cs="Arial"/>
          <w:b/>
          <w:bCs/>
          <w:color w:val="000000" w:themeColor="text1"/>
        </w:rPr>
        <w:t>.-</w:t>
      </w:r>
      <w:r w:rsidRPr="56ADF488">
        <w:rPr>
          <w:rFonts w:ascii="Arial" w:eastAsia="Arial" w:hAnsi="Arial" w:cs="Arial"/>
          <w:color w:val="000000" w:themeColor="text1"/>
        </w:rPr>
        <w:t xml:space="preserve">  Allianz Seguros </w:t>
      </w:r>
      <w:r w:rsidR="0CD2F80C" w:rsidRPr="56ADF488">
        <w:rPr>
          <w:rFonts w:ascii="Arial" w:eastAsia="Arial" w:hAnsi="Arial" w:cs="Arial"/>
          <w:color w:val="000000" w:themeColor="text1"/>
        </w:rPr>
        <w:t>se ha situado</w:t>
      </w:r>
      <w:r w:rsidR="0A215366" w:rsidRPr="56ADF488">
        <w:rPr>
          <w:rFonts w:ascii="Arial" w:eastAsia="Arial" w:hAnsi="Arial" w:cs="Arial"/>
          <w:color w:val="000000" w:themeColor="text1"/>
        </w:rPr>
        <w:t xml:space="preserve"> en </w:t>
      </w:r>
      <w:r w:rsidR="0030442A">
        <w:rPr>
          <w:rFonts w:ascii="Arial" w:eastAsia="Arial" w:hAnsi="Arial" w:cs="Arial"/>
          <w:color w:val="000000" w:themeColor="text1"/>
        </w:rPr>
        <w:t>el Top 10</w:t>
      </w:r>
      <w:r w:rsidR="0116D7A3" w:rsidRPr="56ADF488">
        <w:rPr>
          <w:rFonts w:ascii="Arial" w:eastAsia="Arial" w:hAnsi="Arial" w:cs="Arial"/>
          <w:color w:val="000000" w:themeColor="text1"/>
        </w:rPr>
        <w:t xml:space="preserve"> del</w:t>
      </w:r>
      <w:r w:rsidR="0CD2F80C" w:rsidRPr="56ADF488">
        <w:rPr>
          <w:rFonts w:ascii="Arial" w:eastAsia="Arial" w:hAnsi="Arial" w:cs="Arial"/>
          <w:color w:val="000000" w:themeColor="text1"/>
        </w:rPr>
        <w:t xml:space="preserve"> ranking </w:t>
      </w:r>
      <w:r w:rsidR="001D0DF4">
        <w:rPr>
          <w:rFonts w:ascii="Arial" w:eastAsia="Arial" w:hAnsi="Arial" w:cs="Arial"/>
          <w:color w:val="000000" w:themeColor="text1"/>
        </w:rPr>
        <w:t xml:space="preserve">Top Employers </w:t>
      </w:r>
      <w:r w:rsidR="0CD2F80C" w:rsidRPr="56ADF488">
        <w:rPr>
          <w:rFonts w:ascii="Arial" w:eastAsia="Arial" w:hAnsi="Arial" w:cs="Arial"/>
          <w:color w:val="000000" w:themeColor="text1"/>
        </w:rPr>
        <w:t>de las mejores empresas para trabajar</w:t>
      </w:r>
      <w:r w:rsidR="001D0DF4">
        <w:rPr>
          <w:rFonts w:ascii="Arial" w:eastAsia="Arial" w:hAnsi="Arial" w:cs="Arial"/>
          <w:color w:val="000000" w:themeColor="text1"/>
        </w:rPr>
        <w:t xml:space="preserve"> en España. </w:t>
      </w:r>
      <w:r w:rsidR="0030442A">
        <w:rPr>
          <w:rFonts w:ascii="Arial" w:eastAsia="Arial" w:hAnsi="Arial" w:cs="Arial"/>
          <w:color w:val="000000" w:themeColor="text1"/>
        </w:rPr>
        <w:t>E</w:t>
      </w:r>
      <w:r w:rsidR="001D0DF4">
        <w:rPr>
          <w:rFonts w:ascii="Arial" w:eastAsia="Arial" w:hAnsi="Arial" w:cs="Arial"/>
          <w:color w:val="000000" w:themeColor="text1"/>
        </w:rPr>
        <w:t>ste 2022</w:t>
      </w:r>
      <w:r w:rsidR="00CF0827">
        <w:rPr>
          <w:rFonts w:ascii="Arial" w:eastAsia="Arial" w:hAnsi="Arial" w:cs="Arial"/>
          <w:color w:val="000000" w:themeColor="text1"/>
        </w:rPr>
        <w:t xml:space="preserve"> ha obtenido su mejor puntuación hasta la fecha, con </w:t>
      </w:r>
      <w:r w:rsidR="0030442A">
        <w:rPr>
          <w:rFonts w:ascii="Arial" w:eastAsia="Arial" w:hAnsi="Arial" w:cs="Arial"/>
          <w:color w:val="000000" w:themeColor="text1"/>
        </w:rPr>
        <w:t>el</w:t>
      </w:r>
      <w:r w:rsidR="00CF0827">
        <w:rPr>
          <w:rFonts w:ascii="Arial" w:eastAsia="Arial" w:hAnsi="Arial" w:cs="Arial"/>
          <w:color w:val="000000" w:themeColor="text1"/>
        </w:rPr>
        <w:t xml:space="preserve"> séptimo puesto entre las más de 85 empresas que se han certificado.</w:t>
      </w:r>
      <w:r w:rsidR="0030442A" w:rsidRPr="0030442A">
        <w:rPr>
          <w:rFonts w:ascii="Arial" w:eastAsia="Arial" w:hAnsi="Arial" w:cs="Arial"/>
          <w:color w:val="000000" w:themeColor="text1"/>
        </w:rPr>
        <w:t xml:space="preserve"> </w:t>
      </w:r>
      <w:r w:rsidR="0030442A">
        <w:rPr>
          <w:rFonts w:ascii="Arial" w:eastAsia="Arial" w:hAnsi="Arial" w:cs="Arial"/>
          <w:color w:val="000000" w:themeColor="text1"/>
        </w:rPr>
        <w:t>La compañía ha obtenido la certificación Top Employer  por cuarto año consecutivo.</w:t>
      </w:r>
    </w:p>
    <w:p w14:paraId="13AEADB0" w14:textId="79ED0A1B" w:rsidR="00302332" w:rsidRDefault="00302332" w:rsidP="56ADF488">
      <w:pPr>
        <w:spacing w:after="0" w:line="276" w:lineRule="auto"/>
        <w:ind w:right="425"/>
        <w:jc w:val="both"/>
        <w:rPr>
          <w:rFonts w:ascii="Arial" w:eastAsia="Arial" w:hAnsi="Arial" w:cs="Arial"/>
          <w:color w:val="000000" w:themeColor="text1"/>
        </w:rPr>
      </w:pPr>
    </w:p>
    <w:p w14:paraId="0EF1BEED" w14:textId="77777777" w:rsidR="009C7285" w:rsidRDefault="009C7285" w:rsidP="009C7285">
      <w:pPr>
        <w:spacing w:line="276" w:lineRule="auto"/>
        <w:ind w:right="425"/>
        <w:jc w:val="both"/>
        <w:rPr>
          <w:rFonts w:ascii="Arial" w:hAnsi="Arial" w:cs="Arial"/>
          <w:color w:val="000000"/>
        </w:rPr>
      </w:pPr>
      <w:r w:rsidRPr="009C7285">
        <w:rPr>
          <w:rFonts w:ascii="Arial" w:hAnsi="Arial" w:cs="Arial"/>
          <w:i/>
          <w:iCs/>
        </w:rPr>
        <w:t xml:space="preserve">“Me siento especialmente orgullosa de que se haya plasmado en el resultado los cambios que hemos venido implementando y de seguir estando entre las mejores empresas para trabajar, sobre todo, cuando vivimos unos momentos de incertidumbre y cambio constante que nos ha llevado a hacer un gran esfuerzo para contribuir a mantener el bienestar físico y emocional de nuestro equipo. Este reconocimiento muestra el fruto del esfuerzo de todo nuestro equipo de colaboradores que ha sabido plasmar nuestro empeño por velar por la igualdad, la conciliación y el bienestar de todos los que formamos parte de la familia Allianz, y nos motiva a seguir evolucionando </w:t>
      </w:r>
      <w:r>
        <w:rPr>
          <w:rFonts w:ascii="Arial" w:hAnsi="Arial" w:cs="Arial"/>
          <w:i/>
          <w:iCs/>
          <w:color w:val="000000"/>
        </w:rPr>
        <w:t>”,</w:t>
      </w:r>
      <w:r>
        <w:rPr>
          <w:rFonts w:ascii="Arial" w:hAnsi="Arial" w:cs="Arial"/>
          <w:color w:val="000000"/>
        </w:rPr>
        <w:t xml:space="preserve"> apunta</w:t>
      </w:r>
      <w:r>
        <w:rPr>
          <w:rFonts w:ascii="Arial" w:hAnsi="Arial" w:cs="Arial"/>
          <w:i/>
          <w:iCs/>
          <w:color w:val="000000"/>
        </w:rPr>
        <w:t xml:space="preserve"> </w:t>
      </w:r>
      <w:r>
        <w:rPr>
          <w:rFonts w:ascii="Arial" w:hAnsi="Arial" w:cs="Arial"/>
          <w:b/>
          <w:bCs/>
          <w:color w:val="000000"/>
        </w:rPr>
        <w:t>Gisela Subirà</w:t>
      </w:r>
      <w:r>
        <w:rPr>
          <w:rFonts w:ascii="Arial" w:hAnsi="Arial" w:cs="Arial"/>
          <w:color w:val="000000"/>
        </w:rPr>
        <w:t>, Subdirectora General de RRHH, Legal y Compliance.</w:t>
      </w:r>
      <w:bookmarkStart w:id="0" w:name="_GoBack"/>
      <w:bookmarkEnd w:id="0"/>
    </w:p>
    <w:p w14:paraId="570908F1" w14:textId="77320347" w:rsidR="00302332" w:rsidRDefault="00302332" w:rsidP="56ADF488">
      <w:pPr>
        <w:spacing w:after="0" w:line="276" w:lineRule="auto"/>
        <w:ind w:right="425"/>
        <w:jc w:val="both"/>
        <w:rPr>
          <w:rFonts w:ascii="Arial" w:eastAsia="Arial" w:hAnsi="Arial" w:cs="Arial"/>
          <w:color w:val="000000" w:themeColor="text1"/>
        </w:rPr>
      </w:pPr>
    </w:p>
    <w:p w14:paraId="76F03E48" w14:textId="7D7DEFA6" w:rsidR="00302332" w:rsidRDefault="73BDC82A" w:rsidP="0030442A">
      <w:pPr>
        <w:ind w:right="379"/>
        <w:jc w:val="both"/>
        <w:rPr>
          <w:rFonts w:ascii="Arial" w:eastAsia="Arial" w:hAnsi="Arial" w:cs="Arial"/>
          <w:color w:val="000000" w:themeColor="text1"/>
        </w:rPr>
      </w:pPr>
      <w:r w:rsidRPr="56ADF488">
        <w:rPr>
          <w:rFonts w:ascii="Arial" w:eastAsia="Arial" w:hAnsi="Arial" w:cs="Arial"/>
          <w:color w:val="000000" w:themeColor="text1"/>
        </w:rPr>
        <w:t>El certificado Top Employer acredita que</w:t>
      </w:r>
      <w:r w:rsidR="269D460F" w:rsidRPr="56ADF488">
        <w:rPr>
          <w:rFonts w:ascii="Arial" w:eastAsia="Arial" w:hAnsi="Arial" w:cs="Arial"/>
          <w:color w:val="000000" w:themeColor="text1"/>
        </w:rPr>
        <w:t xml:space="preserve"> </w:t>
      </w:r>
      <w:r w:rsidR="00CF0827">
        <w:rPr>
          <w:rFonts w:ascii="Arial" w:eastAsia="Arial" w:hAnsi="Arial" w:cs="Arial"/>
          <w:color w:val="000000" w:themeColor="text1"/>
        </w:rPr>
        <w:t>l</w:t>
      </w:r>
      <w:r w:rsidR="269D460F" w:rsidRPr="56ADF488">
        <w:rPr>
          <w:rFonts w:ascii="Arial" w:eastAsia="Arial" w:hAnsi="Arial" w:cs="Arial"/>
          <w:color w:val="000000" w:themeColor="text1"/>
        </w:rPr>
        <w:t xml:space="preserve">a compañía ha superado exhaustivo un análisis en el que se evalúan y auditan 600 prácticas de desarrollo de personas en 10 áreas: estrategia de talento, planificación de la plantilla, adquisición de talento, on-boarding, aprendizaje y desarrollo, gestión del desempeño, desarrollo del liderazgo, gestión de carrera y sucesión, compensación y beneficios y cultura. </w:t>
      </w:r>
    </w:p>
    <w:p w14:paraId="01D7656D" w14:textId="4A2CDADE" w:rsidR="00302332" w:rsidRPr="00BF574D" w:rsidRDefault="50FABB3B" w:rsidP="56ADF488">
      <w:pPr>
        <w:spacing w:after="0" w:line="276" w:lineRule="auto"/>
        <w:ind w:right="424"/>
        <w:jc w:val="both"/>
        <w:rPr>
          <w:rFonts w:ascii="Arial" w:eastAsia="Arial" w:hAnsi="Arial" w:cs="Arial"/>
          <w:color w:val="000000" w:themeColor="text1"/>
        </w:rPr>
      </w:pPr>
      <w:r w:rsidRPr="00BF574D">
        <w:rPr>
          <w:rFonts w:ascii="Arial" w:eastAsia="Arial" w:hAnsi="Arial" w:cs="Arial"/>
          <w:b/>
          <w:bCs/>
          <w:color w:val="000000" w:themeColor="text1"/>
        </w:rPr>
        <w:lastRenderedPageBreak/>
        <w:t xml:space="preserve">We care for tomorrow: </w:t>
      </w:r>
      <w:r w:rsidR="00BF574D" w:rsidRPr="0030442A">
        <w:rPr>
          <w:rFonts w:ascii="Arial" w:eastAsia="Arial" w:hAnsi="Arial" w:cs="Arial"/>
          <w:b/>
          <w:bCs/>
          <w:color w:val="000000" w:themeColor="text1"/>
        </w:rPr>
        <w:t>nuestro momento, nuestro bienestar, nues</w:t>
      </w:r>
      <w:r w:rsidR="00BF574D">
        <w:rPr>
          <w:rFonts w:ascii="Arial" w:eastAsia="Arial" w:hAnsi="Arial" w:cs="Arial"/>
          <w:b/>
          <w:bCs/>
          <w:color w:val="000000" w:themeColor="text1"/>
        </w:rPr>
        <w:t>tro desarrollo, nuestro valor</w:t>
      </w:r>
      <w:r w:rsidR="73BDC82A" w:rsidRPr="00BF574D">
        <w:rPr>
          <w:rFonts w:ascii="Arial" w:eastAsia="Arial" w:hAnsi="Arial" w:cs="Arial"/>
          <w:b/>
          <w:bCs/>
          <w:color w:val="000000" w:themeColor="text1"/>
        </w:rPr>
        <w:t xml:space="preserve">  </w:t>
      </w:r>
    </w:p>
    <w:p w14:paraId="776B29E3" w14:textId="0E554271" w:rsidR="00302332" w:rsidRPr="00BF574D" w:rsidRDefault="00302332" w:rsidP="56ADF488">
      <w:pPr>
        <w:spacing w:after="0" w:line="276" w:lineRule="auto"/>
        <w:ind w:right="424"/>
        <w:jc w:val="both"/>
        <w:rPr>
          <w:rFonts w:ascii="Arial" w:eastAsia="Arial" w:hAnsi="Arial" w:cs="Arial"/>
          <w:color w:val="000000" w:themeColor="text1"/>
        </w:rPr>
      </w:pPr>
    </w:p>
    <w:p w14:paraId="6DA32D41" w14:textId="69D22E6F" w:rsidR="00302332" w:rsidRDefault="73BDC82A" w:rsidP="56ADF488">
      <w:pPr>
        <w:spacing w:after="0" w:line="276" w:lineRule="auto"/>
        <w:ind w:right="424"/>
        <w:jc w:val="both"/>
        <w:rPr>
          <w:rFonts w:ascii="Arial" w:eastAsia="Arial" w:hAnsi="Arial" w:cs="Arial"/>
          <w:color w:val="000000" w:themeColor="text1"/>
        </w:rPr>
      </w:pPr>
      <w:r w:rsidRPr="56ADF488">
        <w:rPr>
          <w:rFonts w:ascii="Arial" w:eastAsia="Arial" w:hAnsi="Arial" w:cs="Arial"/>
          <w:color w:val="000000" w:themeColor="text1"/>
        </w:rPr>
        <w:t>En los últimos años la compañía viene acelerando el proceso de digitalización centrado en las personas con las ventajas que éstas aportan. Esto fue fundamental cuando todos los colaboradores tuvieron que empezar a trabajar en remoto debido a la pandemia.</w:t>
      </w:r>
      <w:r w:rsidR="000E6562">
        <w:rPr>
          <w:rFonts w:ascii="Arial" w:eastAsia="Arial" w:hAnsi="Arial" w:cs="Arial"/>
          <w:color w:val="000000" w:themeColor="text1"/>
        </w:rPr>
        <w:t xml:space="preserve"> Esta aceleró grandes cambios en la gestión de personas, que la compañía ha enmarcado en su Employee Value Propositon: </w:t>
      </w:r>
      <w:r w:rsidR="000E6562" w:rsidRPr="0030442A">
        <w:rPr>
          <w:rFonts w:ascii="Arial" w:eastAsia="Arial" w:hAnsi="Arial" w:cs="Arial"/>
          <w:b/>
          <w:color w:val="000000" w:themeColor="text1"/>
        </w:rPr>
        <w:t>We care for tomorrow</w:t>
      </w:r>
      <w:r w:rsidR="000E6562">
        <w:rPr>
          <w:rFonts w:ascii="Arial" w:eastAsia="Arial" w:hAnsi="Arial" w:cs="Arial"/>
          <w:color w:val="000000" w:themeColor="text1"/>
        </w:rPr>
        <w:t xml:space="preserve">.  Ahora, por ejemplo, </w:t>
      </w:r>
      <w:r w:rsidR="00563059">
        <w:rPr>
          <w:rFonts w:ascii="Arial" w:eastAsia="Arial" w:hAnsi="Arial" w:cs="Arial"/>
          <w:color w:val="000000" w:themeColor="text1"/>
        </w:rPr>
        <w:t xml:space="preserve">es el </w:t>
      </w:r>
      <w:r w:rsidR="00563059" w:rsidRPr="0030442A">
        <w:rPr>
          <w:rFonts w:ascii="Arial" w:eastAsia="Arial" w:hAnsi="Arial" w:cs="Arial"/>
          <w:b/>
          <w:color w:val="000000" w:themeColor="text1"/>
        </w:rPr>
        <w:t>momento</w:t>
      </w:r>
      <w:r w:rsidR="00563059">
        <w:rPr>
          <w:rFonts w:ascii="Arial" w:eastAsia="Arial" w:hAnsi="Arial" w:cs="Arial"/>
          <w:color w:val="000000" w:themeColor="text1"/>
        </w:rPr>
        <w:t xml:space="preserve"> de apostar</w:t>
      </w:r>
      <w:r w:rsidR="000E6562">
        <w:rPr>
          <w:rFonts w:ascii="Arial" w:eastAsia="Arial" w:hAnsi="Arial" w:cs="Arial"/>
          <w:color w:val="000000" w:themeColor="text1"/>
        </w:rPr>
        <w:t xml:space="preserve"> </w:t>
      </w:r>
      <w:r w:rsidR="52233E98" w:rsidRPr="56ADF488">
        <w:rPr>
          <w:rFonts w:ascii="Arial" w:eastAsia="Arial" w:hAnsi="Arial" w:cs="Arial"/>
          <w:color w:val="000000" w:themeColor="text1"/>
        </w:rPr>
        <w:t>por un modelo híbrido que combina trabajo presencial para aquellas tareas que requieren una mayor dosis de creatividad e int</w:t>
      </w:r>
      <w:r w:rsidR="33CD37C9" w:rsidRPr="56ADF488">
        <w:rPr>
          <w:rFonts w:ascii="Arial" w:eastAsia="Arial" w:hAnsi="Arial" w:cs="Arial"/>
          <w:color w:val="000000" w:themeColor="text1"/>
        </w:rPr>
        <w:t>eracción con jornadas de teletrabajo</w:t>
      </w:r>
      <w:r w:rsidRPr="56ADF488">
        <w:rPr>
          <w:rFonts w:ascii="Arial" w:eastAsia="Arial" w:hAnsi="Arial" w:cs="Arial"/>
          <w:color w:val="000000" w:themeColor="text1"/>
        </w:rPr>
        <w:t>.</w:t>
      </w:r>
      <w:r w:rsidR="000E6562">
        <w:rPr>
          <w:rFonts w:ascii="Arial" w:eastAsia="Arial" w:hAnsi="Arial" w:cs="Arial"/>
          <w:color w:val="000000" w:themeColor="text1"/>
        </w:rPr>
        <w:t xml:space="preserve"> Además, ha establecido directrices para la desconexión digital, que ha cobrado todavía más importancia durante la pandemia. </w:t>
      </w:r>
    </w:p>
    <w:p w14:paraId="5B8C46DE" w14:textId="5EAC1D59" w:rsidR="00302332" w:rsidRDefault="00302332" w:rsidP="000E6562">
      <w:pPr>
        <w:spacing w:after="0" w:line="276" w:lineRule="auto"/>
        <w:ind w:right="424"/>
        <w:jc w:val="both"/>
        <w:rPr>
          <w:rFonts w:ascii="Arial" w:eastAsia="Arial" w:hAnsi="Arial" w:cs="Arial"/>
          <w:color w:val="000000" w:themeColor="text1"/>
        </w:rPr>
      </w:pPr>
      <w:r>
        <w:br/>
      </w:r>
      <w:r w:rsidR="73BDC82A" w:rsidRPr="56ADF488">
        <w:rPr>
          <w:rFonts w:ascii="Arial" w:eastAsia="Arial" w:hAnsi="Arial" w:cs="Arial"/>
          <w:color w:val="000000" w:themeColor="text1"/>
        </w:rPr>
        <w:t xml:space="preserve">Además, </w:t>
      </w:r>
      <w:r w:rsidR="000E6562">
        <w:rPr>
          <w:rFonts w:ascii="Arial" w:eastAsia="Arial" w:hAnsi="Arial" w:cs="Arial"/>
          <w:color w:val="000000" w:themeColor="text1"/>
        </w:rPr>
        <w:t xml:space="preserve">Allianz ha puesto de relevancia </w:t>
      </w:r>
      <w:r w:rsidR="73BDC82A" w:rsidRPr="56ADF488">
        <w:rPr>
          <w:rFonts w:ascii="Arial" w:eastAsia="Arial" w:hAnsi="Arial" w:cs="Arial"/>
          <w:color w:val="000000" w:themeColor="text1"/>
        </w:rPr>
        <w:t xml:space="preserve">la importancia </w:t>
      </w:r>
      <w:r w:rsidR="000E6562">
        <w:rPr>
          <w:rFonts w:ascii="Arial" w:eastAsia="Arial" w:hAnsi="Arial" w:cs="Arial"/>
          <w:color w:val="000000" w:themeColor="text1"/>
        </w:rPr>
        <w:t xml:space="preserve">del </w:t>
      </w:r>
      <w:r w:rsidR="000E6562" w:rsidRPr="0030442A">
        <w:rPr>
          <w:rFonts w:ascii="Arial" w:eastAsia="Arial" w:hAnsi="Arial" w:cs="Arial"/>
          <w:b/>
          <w:color w:val="000000" w:themeColor="text1"/>
        </w:rPr>
        <w:t>bienestar</w:t>
      </w:r>
      <w:r w:rsidR="000E6562">
        <w:rPr>
          <w:rFonts w:ascii="Arial" w:eastAsia="Arial" w:hAnsi="Arial" w:cs="Arial"/>
          <w:color w:val="000000" w:themeColor="text1"/>
        </w:rPr>
        <w:t xml:space="preserve"> y de</w:t>
      </w:r>
      <w:r w:rsidR="73BDC82A" w:rsidRPr="56ADF488">
        <w:rPr>
          <w:rFonts w:ascii="Arial" w:eastAsia="Arial" w:hAnsi="Arial" w:cs="Arial"/>
          <w:color w:val="000000" w:themeColor="text1"/>
        </w:rPr>
        <w:t xml:space="preserve"> la dimensión psicológica de la salud y de la calidad de vida en el trabajo</w:t>
      </w:r>
      <w:r w:rsidR="000E6562">
        <w:rPr>
          <w:rFonts w:ascii="Arial" w:eastAsia="Arial" w:hAnsi="Arial" w:cs="Arial"/>
          <w:color w:val="000000" w:themeColor="text1"/>
        </w:rPr>
        <w:t xml:space="preserve">. </w:t>
      </w:r>
      <w:r w:rsidR="5AA50EF5" w:rsidRPr="56ADF488">
        <w:rPr>
          <w:rFonts w:ascii="Arial" w:eastAsia="Arial" w:hAnsi="Arial" w:cs="Arial"/>
          <w:color w:val="000000" w:themeColor="text1"/>
        </w:rPr>
        <w:t xml:space="preserve">En los últimos meses la pandemia nos ha desafiado como nunca antes. </w:t>
      </w:r>
      <w:r w:rsidR="000E6562">
        <w:rPr>
          <w:rFonts w:ascii="Arial" w:eastAsia="Arial" w:hAnsi="Arial" w:cs="Arial"/>
          <w:color w:val="000000" w:themeColor="text1"/>
        </w:rPr>
        <w:t xml:space="preserve">Por ello, la compañía ha puesto en marcha iniciativas como un programa para combatir la fatiga pandémica, atención psicológica 24 horas o el establecimiento de My Focus Days (días sin reuniones). También se ha lanzado el </w:t>
      </w:r>
      <w:r w:rsidR="5208D53A" w:rsidRPr="56ADF488">
        <w:rPr>
          <w:rFonts w:ascii="Arial" w:eastAsia="Arial" w:hAnsi="Arial" w:cs="Arial"/>
          <w:color w:val="000000" w:themeColor="text1"/>
        </w:rPr>
        <w:t>Allianz Wellness Club</w:t>
      </w:r>
      <w:r w:rsidR="69A4FB5D" w:rsidRPr="56ADF488">
        <w:rPr>
          <w:rFonts w:ascii="Arial" w:eastAsia="Arial" w:hAnsi="Arial" w:cs="Arial"/>
          <w:color w:val="000000" w:themeColor="text1"/>
        </w:rPr>
        <w:t xml:space="preserve">, </w:t>
      </w:r>
      <w:r w:rsidR="5208D53A" w:rsidRPr="56ADF488">
        <w:rPr>
          <w:rFonts w:ascii="Arial" w:eastAsia="Arial" w:hAnsi="Arial" w:cs="Arial"/>
          <w:color w:val="000000" w:themeColor="text1"/>
        </w:rPr>
        <w:t xml:space="preserve">una comunidad activa que promueve </w:t>
      </w:r>
      <w:r w:rsidR="000E6562">
        <w:rPr>
          <w:rFonts w:ascii="Arial" w:eastAsia="Arial" w:hAnsi="Arial" w:cs="Arial"/>
          <w:color w:val="000000" w:themeColor="text1"/>
        </w:rPr>
        <w:t>el deporte y la alimentación sana</w:t>
      </w:r>
      <w:r w:rsidR="000E6562" w:rsidRPr="56ADF488">
        <w:rPr>
          <w:rFonts w:ascii="Arial" w:eastAsia="Arial" w:hAnsi="Arial" w:cs="Arial"/>
          <w:color w:val="000000" w:themeColor="text1"/>
        </w:rPr>
        <w:t xml:space="preserve"> </w:t>
      </w:r>
      <w:r w:rsidR="5208D53A" w:rsidRPr="56ADF488">
        <w:rPr>
          <w:rFonts w:ascii="Arial" w:eastAsia="Arial" w:hAnsi="Arial" w:cs="Arial"/>
          <w:color w:val="000000" w:themeColor="text1"/>
        </w:rPr>
        <w:t xml:space="preserve">para </w:t>
      </w:r>
      <w:r w:rsidR="4957257C" w:rsidRPr="56ADF488">
        <w:rPr>
          <w:rFonts w:ascii="Arial" w:eastAsia="Arial" w:hAnsi="Arial" w:cs="Arial"/>
          <w:color w:val="000000" w:themeColor="text1"/>
        </w:rPr>
        <w:t>el</w:t>
      </w:r>
      <w:r w:rsidR="5208D53A" w:rsidRPr="56ADF488">
        <w:rPr>
          <w:rFonts w:ascii="Arial" w:eastAsia="Arial" w:hAnsi="Arial" w:cs="Arial"/>
          <w:color w:val="000000" w:themeColor="text1"/>
        </w:rPr>
        <w:t xml:space="preserve"> cuidado físico y emocional</w:t>
      </w:r>
      <w:r w:rsidR="000E6562">
        <w:rPr>
          <w:rFonts w:ascii="Arial" w:eastAsia="Arial" w:hAnsi="Arial" w:cs="Arial"/>
          <w:color w:val="000000" w:themeColor="text1"/>
        </w:rPr>
        <w:t>.</w:t>
      </w:r>
    </w:p>
    <w:p w14:paraId="597B4FE5" w14:textId="6AB4DA5B" w:rsidR="000E6562" w:rsidRDefault="000E6562" w:rsidP="000E6562">
      <w:pPr>
        <w:spacing w:after="0" w:line="276" w:lineRule="auto"/>
        <w:ind w:right="424"/>
        <w:jc w:val="both"/>
        <w:rPr>
          <w:rFonts w:ascii="Arial" w:eastAsia="Arial" w:hAnsi="Arial" w:cs="Arial"/>
          <w:color w:val="000000" w:themeColor="text1"/>
        </w:rPr>
      </w:pPr>
    </w:p>
    <w:p w14:paraId="3729D0EA" w14:textId="1754FD9B" w:rsidR="000E6562" w:rsidRDefault="000E6562" w:rsidP="000E6562">
      <w:pPr>
        <w:spacing w:after="0" w:line="276" w:lineRule="auto"/>
        <w:ind w:right="424"/>
        <w:jc w:val="both"/>
        <w:rPr>
          <w:rFonts w:ascii="Arial" w:eastAsia="Arial" w:hAnsi="Arial" w:cs="Arial"/>
          <w:color w:val="000000" w:themeColor="text1"/>
        </w:rPr>
      </w:pPr>
      <w:r>
        <w:rPr>
          <w:rFonts w:ascii="Arial" w:eastAsia="Arial" w:hAnsi="Arial" w:cs="Arial"/>
          <w:color w:val="000000" w:themeColor="text1"/>
        </w:rPr>
        <w:t xml:space="preserve">En cuestiones de </w:t>
      </w:r>
      <w:r w:rsidRPr="0030442A">
        <w:rPr>
          <w:rFonts w:ascii="Arial" w:eastAsia="Arial" w:hAnsi="Arial" w:cs="Arial"/>
          <w:b/>
          <w:color w:val="000000" w:themeColor="text1"/>
        </w:rPr>
        <w:t>desarrollo</w:t>
      </w:r>
      <w:r>
        <w:rPr>
          <w:rFonts w:ascii="Arial" w:eastAsia="Arial" w:hAnsi="Arial" w:cs="Arial"/>
          <w:color w:val="000000" w:themeColor="text1"/>
        </w:rPr>
        <w:t>, la compañía está comprometida a que los empleados puedan crecer profesionalmente de la manera que más les encaje en su día a día. Para ello ha establecido el plan de dedicar una hora a la semana a formación (One Hour Learning) y todos los empleados tienen una licencia gratuita de LinkedIn Learning. Además, financia la formación de la plantilla y también ofrece programas de mentoring. Para el colectivo directivo, el programa global #Lead</w:t>
      </w:r>
      <w:r w:rsidR="00BF574D">
        <w:rPr>
          <w:rFonts w:ascii="Arial" w:eastAsia="Arial" w:hAnsi="Arial" w:cs="Arial"/>
          <w:color w:val="000000" w:themeColor="text1"/>
        </w:rPr>
        <w:t xml:space="preserve"> les prepara para ser los líderes empresariales del futuro.</w:t>
      </w:r>
    </w:p>
    <w:p w14:paraId="3291ED90" w14:textId="23538761" w:rsidR="00BF574D" w:rsidRDefault="00BF574D" w:rsidP="000E6562">
      <w:pPr>
        <w:spacing w:after="0" w:line="276" w:lineRule="auto"/>
        <w:ind w:right="424"/>
        <w:jc w:val="both"/>
        <w:rPr>
          <w:rFonts w:ascii="Arial" w:eastAsia="Arial" w:hAnsi="Arial" w:cs="Arial"/>
          <w:color w:val="000000" w:themeColor="text1"/>
        </w:rPr>
      </w:pPr>
    </w:p>
    <w:p w14:paraId="567D5473" w14:textId="02533357" w:rsidR="00BF574D" w:rsidRDefault="00BF574D" w:rsidP="000E6562">
      <w:pPr>
        <w:spacing w:after="0" w:line="276" w:lineRule="auto"/>
        <w:ind w:right="424"/>
        <w:jc w:val="both"/>
        <w:rPr>
          <w:rFonts w:ascii="Arial" w:eastAsia="Arial" w:hAnsi="Arial" w:cs="Arial"/>
          <w:color w:val="000000" w:themeColor="text1"/>
        </w:rPr>
      </w:pPr>
      <w:r w:rsidRPr="4ACF4503">
        <w:rPr>
          <w:rFonts w:ascii="Arial" w:eastAsia="Arial" w:hAnsi="Arial" w:cs="Arial"/>
          <w:color w:val="000000" w:themeColor="text1"/>
        </w:rPr>
        <w:t xml:space="preserve">Allianz también es consciente del </w:t>
      </w:r>
      <w:r w:rsidRPr="4ACF4503">
        <w:rPr>
          <w:rFonts w:ascii="Arial" w:eastAsia="Arial" w:hAnsi="Arial" w:cs="Arial"/>
          <w:b/>
          <w:bCs/>
          <w:color w:val="000000" w:themeColor="text1"/>
        </w:rPr>
        <w:t>valor</w:t>
      </w:r>
      <w:r w:rsidRPr="4ACF4503">
        <w:rPr>
          <w:rFonts w:ascii="Arial" w:eastAsia="Arial" w:hAnsi="Arial" w:cs="Arial"/>
          <w:color w:val="000000" w:themeColor="text1"/>
        </w:rPr>
        <w:t xml:space="preserve"> que aporta a sus empleados y el valor que aportan ellos. Queremos que la plantilla se sienta reconocida y valorada. Por ello, todos cuentan con retribución variable</w:t>
      </w:r>
      <w:r w:rsidR="00C5098C" w:rsidRPr="4ACF4503">
        <w:rPr>
          <w:rFonts w:ascii="Arial" w:eastAsia="Arial" w:hAnsi="Arial" w:cs="Arial"/>
          <w:color w:val="000000" w:themeColor="text1"/>
        </w:rPr>
        <w:t xml:space="preserve"> ligada a los objetivos de la compañía</w:t>
      </w:r>
      <w:r w:rsidRPr="4ACF4503">
        <w:rPr>
          <w:rFonts w:ascii="Arial" w:eastAsia="Arial" w:hAnsi="Arial" w:cs="Arial"/>
          <w:color w:val="000000" w:themeColor="text1"/>
        </w:rPr>
        <w:t xml:space="preserve">. Además, ante el esfuerzo extraordinario de todos durante la pandemia, dio un día extra de vacaciones (Allianz Day Off). </w:t>
      </w:r>
    </w:p>
    <w:p w14:paraId="22DDF1C8" w14:textId="1357B888" w:rsidR="00302332" w:rsidRDefault="5208D53A" w:rsidP="56ADF488">
      <w:pPr>
        <w:spacing w:after="0" w:line="276" w:lineRule="auto"/>
        <w:ind w:right="424"/>
        <w:jc w:val="both"/>
        <w:rPr>
          <w:rFonts w:ascii="Arial" w:eastAsia="Arial" w:hAnsi="Arial" w:cs="Arial"/>
          <w:color w:val="000000" w:themeColor="text1"/>
        </w:rPr>
      </w:pPr>
      <w:r w:rsidRPr="56ADF488">
        <w:rPr>
          <w:rFonts w:ascii="Arial" w:eastAsia="Arial" w:hAnsi="Arial" w:cs="Arial"/>
          <w:color w:val="000000" w:themeColor="text1"/>
        </w:rPr>
        <w:t xml:space="preserve"> </w:t>
      </w:r>
    </w:p>
    <w:p w14:paraId="5CBB0971" w14:textId="4062EC1D" w:rsidR="00302332" w:rsidRDefault="73BDC82A" w:rsidP="56ADF488">
      <w:pPr>
        <w:spacing w:after="0" w:line="276" w:lineRule="auto"/>
        <w:jc w:val="both"/>
        <w:rPr>
          <w:rFonts w:ascii="Arial" w:eastAsia="Arial" w:hAnsi="Arial" w:cs="Arial"/>
          <w:color w:val="000000" w:themeColor="text1"/>
        </w:rPr>
      </w:pPr>
      <w:r w:rsidRPr="56ADF488">
        <w:rPr>
          <w:rFonts w:ascii="Arial" w:eastAsia="Arial" w:hAnsi="Arial" w:cs="Arial"/>
          <w:b/>
          <w:bCs/>
          <w:color w:val="000000" w:themeColor="text1"/>
        </w:rPr>
        <w:t>Sobre el sello Top Employers Institute</w:t>
      </w:r>
    </w:p>
    <w:p w14:paraId="2D0D2505" w14:textId="4EA93B41" w:rsidR="00302332" w:rsidRDefault="00302332" w:rsidP="56ADF488">
      <w:pPr>
        <w:spacing w:after="0" w:line="276" w:lineRule="auto"/>
        <w:jc w:val="both"/>
        <w:rPr>
          <w:rFonts w:ascii="Arial" w:eastAsia="Arial" w:hAnsi="Arial" w:cs="Arial"/>
          <w:color w:val="000000" w:themeColor="text1"/>
        </w:rPr>
      </w:pPr>
    </w:p>
    <w:p w14:paraId="49C77D63" w14:textId="27C407B3" w:rsidR="00302332" w:rsidRDefault="73BDC82A" w:rsidP="56ADF488">
      <w:pPr>
        <w:spacing w:after="0" w:line="276" w:lineRule="auto"/>
        <w:ind w:right="346"/>
        <w:jc w:val="both"/>
        <w:rPr>
          <w:rFonts w:ascii="Arial" w:eastAsia="Arial" w:hAnsi="Arial" w:cs="Arial"/>
          <w:color w:val="000000" w:themeColor="text1"/>
        </w:rPr>
      </w:pPr>
      <w:r w:rsidRPr="56ADF488">
        <w:rPr>
          <w:rFonts w:ascii="Arial" w:eastAsia="Arial" w:hAnsi="Arial" w:cs="Arial"/>
          <w:color w:val="000000" w:themeColor="text1"/>
        </w:rPr>
        <w:t>El Top Employers Institute se dedica a ayudar a que las organizaciones con las mejores condiciones para los empleados/as sean reconocidas como los mejores empleadores. Se fundó en 1991 desde entonces ha reconocido a más de 1.600 compañías Top Employers en 119 países/ de 5 continentes. Además de identificar y destacar a los mejores empleadores de todo el mundo, el análisis de Top Employers Institute profundiza en la gestión de RRHH, en  las condiciones que se ofrecen a los empleados/as y proporciona tendencias y datos de máxima utilidad para desarrollar a las organizaciones.</w:t>
      </w:r>
    </w:p>
    <w:p w14:paraId="6B72AE6E" w14:textId="4C223363" w:rsidR="00302332" w:rsidRDefault="00302332" w:rsidP="56ADF488">
      <w:pPr>
        <w:spacing w:after="0" w:line="276" w:lineRule="auto"/>
        <w:ind w:right="348"/>
        <w:jc w:val="both"/>
        <w:rPr>
          <w:rFonts w:ascii="Arial" w:eastAsia="Arial" w:hAnsi="Arial" w:cs="Arial"/>
          <w:color w:val="000000" w:themeColor="text1"/>
        </w:rPr>
      </w:pPr>
    </w:p>
    <w:p w14:paraId="1096E410" w14:textId="5B3F0BF2" w:rsidR="00302332" w:rsidRDefault="73BDC82A" w:rsidP="56ADF488">
      <w:pPr>
        <w:spacing w:after="200" w:line="276" w:lineRule="auto"/>
        <w:ind w:right="348"/>
        <w:jc w:val="both"/>
        <w:rPr>
          <w:rFonts w:ascii="Arial" w:eastAsia="Arial" w:hAnsi="Arial" w:cs="Arial"/>
          <w:color w:val="000000" w:themeColor="text1"/>
        </w:rPr>
      </w:pPr>
      <w:r w:rsidRPr="56ADF488">
        <w:rPr>
          <w:rFonts w:ascii="Arial" w:eastAsia="Arial" w:hAnsi="Arial" w:cs="Arial"/>
          <w:b/>
          <w:bCs/>
          <w:color w:val="000000" w:themeColor="text1"/>
        </w:rPr>
        <w:t>Sobre Allianz Seguros</w:t>
      </w:r>
    </w:p>
    <w:p w14:paraId="138D0BA2" w14:textId="16C25086" w:rsidR="00302332" w:rsidRDefault="73BDC82A" w:rsidP="56ADF488">
      <w:pPr>
        <w:spacing w:after="0" w:line="276" w:lineRule="auto"/>
        <w:ind w:right="348"/>
        <w:jc w:val="both"/>
        <w:rPr>
          <w:rFonts w:ascii="Arial" w:eastAsia="Arial" w:hAnsi="Arial" w:cs="Arial"/>
          <w:color w:val="000000" w:themeColor="text1"/>
        </w:rPr>
      </w:pPr>
      <w:r w:rsidRPr="56ADF488">
        <w:rPr>
          <w:rFonts w:ascii="Arial" w:eastAsia="Arial" w:hAnsi="Arial" w:cs="Arial"/>
          <w:color w:val="000000" w:themeColor="text1"/>
        </w:rPr>
        <w:lastRenderedPageBreak/>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715151F4" w14:textId="137758B4" w:rsidR="00302332" w:rsidRDefault="00302332" w:rsidP="56ADF488">
      <w:pPr>
        <w:spacing w:after="0" w:line="276" w:lineRule="auto"/>
        <w:ind w:right="348"/>
        <w:jc w:val="both"/>
        <w:rPr>
          <w:rFonts w:ascii="Arial" w:eastAsia="Arial" w:hAnsi="Arial" w:cs="Arial"/>
          <w:color w:val="000000" w:themeColor="text1"/>
        </w:rPr>
      </w:pPr>
    </w:p>
    <w:p w14:paraId="35218E65" w14:textId="29355BFA" w:rsidR="00302332" w:rsidRDefault="73BDC82A" w:rsidP="56ADF488">
      <w:pPr>
        <w:spacing w:after="0" w:line="276" w:lineRule="auto"/>
        <w:ind w:right="348"/>
        <w:jc w:val="both"/>
        <w:rPr>
          <w:rFonts w:ascii="Arial" w:eastAsia="Arial" w:hAnsi="Arial" w:cs="Arial"/>
          <w:color w:val="000000" w:themeColor="text1"/>
        </w:rPr>
      </w:pPr>
      <w:r w:rsidRPr="56ADF488">
        <w:rPr>
          <w:rFonts w:ascii="Arial" w:eastAsia="Arial" w:hAnsi="Arial" w:cs="Arial"/>
          <w:color w:val="000000" w:themeColor="text1"/>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415FF356" w14:textId="1D3DF1AB" w:rsidR="00302332" w:rsidRDefault="00302332" w:rsidP="56ADF488">
      <w:pPr>
        <w:spacing w:after="0" w:line="240" w:lineRule="auto"/>
        <w:ind w:right="425"/>
        <w:jc w:val="both"/>
        <w:rPr>
          <w:rFonts w:ascii="Arial" w:eastAsia="Arial" w:hAnsi="Arial" w:cs="Arial"/>
          <w:color w:val="000000" w:themeColor="text1"/>
        </w:rPr>
      </w:pPr>
    </w:p>
    <w:p w14:paraId="0616F62E" w14:textId="34C06E2B" w:rsidR="00302332" w:rsidRDefault="00302332" w:rsidP="56ADF488">
      <w:pPr>
        <w:spacing w:after="0" w:line="240" w:lineRule="auto"/>
        <w:rPr>
          <w:rFonts w:ascii="Arial" w:eastAsia="Arial" w:hAnsi="Arial" w:cs="Arial"/>
          <w:color w:val="000000" w:themeColor="text1"/>
        </w:rPr>
      </w:pPr>
    </w:p>
    <w:p w14:paraId="74975CC4" w14:textId="0B07AEFC" w:rsidR="00302332" w:rsidRDefault="73BDC82A" w:rsidP="56ADF488">
      <w:pPr>
        <w:tabs>
          <w:tab w:val="left" w:pos="567"/>
        </w:tabs>
        <w:spacing w:after="0" w:line="240" w:lineRule="auto"/>
        <w:ind w:right="1418"/>
        <w:jc w:val="both"/>
        <w:rPr>
          <w:rFonts w:ascii="Arial" w:eastAsia="Arial" w:hAnsi="Arial" w:cs="Arial"/>
          <w:color w:val="000000" w:themeColor="text1"/>
        </w:rPr>
      </w:pPr>
      <w:r w:rsidRPr="56ADF488">
        <w:rPr>
          <w:rFonts w:ascii="Arial" w:eastAsia="Arial" w:hAnsi="Arial" w:cs="Arial"/>
          <w:color w:val="000000" w:themeColor="text1"/>
        </w:rPr>
        <w:t>Para más información:</w:t>
      </w:r>
    </w:p>
    <w:p w14:paraId="7C74A87A" w14:textId="2096FB80" w:rsidR="00302332" w:rsidRDefault="73BDC82A" w:rsidP="56ADF488">
      <w:pPr>
        <w:tabs>
          <w:tab w:val="left" w:pos="567"/>
        </w:tabs>
        <w:spacing w:after="0" w:line="240" w:lineRule="auto"/>
        <w:ind w:right="1418"/>
        <w:jc w:val="both"/>
        <w:rPr>
          <w:rFonts w:ascii="Arial" w:eastAsia="Arial" w:hAnsi="Arial" w:cs="Arial"/>
          <w:color w:val="000000" w:themeColor="text1"/>
        </w:rPr>
      </w:pPr>
      <w:r w:rsidRPr="56ADF488">
        <w:rPr>
          <w:rFonts w:ascii="Arial" w:eastAsia="Arial" w:hAnsi="Arial" w:cs="Arial"/>
          <w:color w:val="000000" w:themeColor="text1"/>
        </w:rPr>
        <w:t>Sonia Rodríguez</w:t>
      </w:r>
      <w:r w:rsidR="00302332">
        <w:tab/>
      </w:r>
      <w:r w:rsidR="00302332">
        <w:tab/>
      </w:r>
      <w:r w:rsidRPr="56ADF488">
        <w:rPr>
          <w:rFonts w:ascii="Arial" w:eastAsia="Arial" w:hAnsi="Arial" w:cs="Arial"/>
          <w:color w:val="000000" w:themeColor="text1"/>
        </w:rPr>
        <w:t>Tel. 91.596.00.66</w:t>
      </w:r>
    </w:p>
    <w:p w14:paraId="3FE2A21E" w14:textId="0F265056" w:rsidR="00302332" w:rsidRDefault="73BDC82A" w:rsidP="56ADF488">
      <w:pPr>
        <w:pStyle w:val="Ttulo4"/>
        <w:spacing w:line="240" w:lineRule="auto"/>
        <w:ind w:left="708" w:right="1418" w:hanging="708"/>
        <w:jc w:val="both"/>
        <w:rPr>
          <w:rFonts w:ascii="Arial" w:eastAsia="Arial" w:hAnsi="Arial" w:cs="Arial"/>
          <w:i w:val="0"/>
          <w:iCs w:val="0"/>
          <w:color w:val="000000" w:themeColor="text1"/>
        </w:rPr>
      </w:pPr>
      <w:r w:rsidRPr="56ADF488">
        <w:rPr>
          <w:rFonts w:ascii="Arial" w:eastAsia="Arial" w:hAnsi="Arial" w:cs="Arial"/>
          <w:i w:val="0"/>
          <w:iCs w:val="0"/>
          <w:color w:val="000000" w:themeColor="text1"/>
        </w:rPr>
        <w:t xml:space="preserve">Laura Gallach </w:t>
      </w:r>
      <w:r w:rsidR="00302332">
        <w:tab/>
      </w:r>
      <w:r w:rsidR="00302332">
        <w:tab/>
      </w:r>
      <w:r w:rsidRPr="56ADF488">
        <w:rPr>
          <w:rFonts w:ascii="Arial" w:eastAsia="Arial" w:hAnsi="Arial" w:cs="Arial"/>
          <w:i w:val="0"/>
          <w:iCs w:val="0"/>
          <w:color w:val="000000" w:themeColor="text1"/>
        </w:rPr>
        <w:t>Tel. 93.228.67.83</w:t>
      </w:r>
    </w:p>
    <w:p w14:paraId="1A694EC2" w14:textId="1F32F71D" w:rsidR="00302332" w:rsidRDefault="00302332" w:rsidP="56ADF488">
      <w:pPr>
        <w:spacing w:after="0" w:line="240" w:lineRule="auto"/>
        <w:rPr>
          <w:rFonts w:ascii="Arial" w:eastAsia="Arial" w:hAnsi="Arial" w:cs="Arial"/>
          <w:color w:val="000000" w:themeColor="text1"/>
        </w:rPr>
      </w:pPr>
    </w:p>
    <w:p w14:paraId="50AF1CB0" w14:textId="021151BA" w:rsidR="00302332" w:rsidRDefault="00302332" w:rsidP="56ADF488">
      <w:pPr>
        <w:spacing w:after="0" w:line="240" w:lineRule="auto"/>
        <w:ind w:right="425"/>
        <w:jc w:val="both"/>
        <w:rPr>
          <w:rFonts w:ascii="Segoe UI" w:eastAsia="Segoe UI" w:hAnsi="Segoe UI" w:cs="Segoe UI"/>
          <w:color w:val="000000" w:themeColor="text1"/>
          <w:sz w:val="24"/>
          <w:szCs w:val="24"/>
        </w:rPr>
      </w:pPr>
    </w:p>
    <w:p w14:paraId="70E84010" w14:textId="077E8167" w:rsidR="00302332" w:rsidRDefault="73BDC82A" w:rsidP="56ADF488">
      <w:pPr>
        <w:spacing w:after="0" w:line="240" w:lineRule="auto"/>
        <w:ind w:right="141"/>
        <w:rPr>
          <w:rFonts w:ascii="Segoe UI" w:eastAsia="Segoe UI" w:hAnsi="Segoe UI" w:cs="Segoe UI"/>
          <w:color w:val="000000" w:themeColor="text1"/>
          <w:sz w:val="18"/>
          <w:szCs w:val="18"/>
        </w:rPr>
      </w:pPr>
      <w:r w:rsidRPr="56ADF488">
        <w:rPr>
          <w:rFonts w:ascii="Segoe UI" w:eastAsia="Segoe UI" w:hAnsi="Segoe UI" w:cs="Segoe UI"/>
          <w:b/>
          <w:bCs/>
          <w:color w:val="000000" w:themeColor="text1"/>
          <w:sz w:val="18"/>
          <w:szCs w:val="18"/>
        </w:rPr>
        <w:t xml:space="preserve">Estas aseveraciones quedan, como siempre, sujetas a la siguiente </w:t>
      </w:r>
      <w:hyperlink r:id="rId10">
        <w:r w:rsidRPr="56ADF488">
          <w:rPr>
            <w:rStyle w:val="Hipervnculo"/>
            <w:rFonts w:ascii="Segoe UI" w:eastAsia="Segoe UI" w:hAnsi="Segoe UI" w:cs="Segoe UI"/>
            <w:b/>
            <w:bCs/>
            <w:sz w:val="18"/>
            <w:szCs w:val="18"/>
          </w:rPr>
          <w:t>nota preventiva</w:t>
        </w:r>
      </w:hyperlink>
      <w:r w:rsidRPr="56ADF488">
        <w:rPr>
          <w:rFonts w:ascii="Segoe UI" w:eastAsia="Segoe UI" w:hAnsi="Segoe UI" w:cs="Segoe UI"/>
          <w:b/>
          <w:bCs/>
          <w:color w:val="000000" w:themeColor="text1"/>
          <w:sz w:val="18"/>
          <w:szCs w:val="18"/>
        </w:rPr>
        <w:t>.</w:t>
      </w:r>
    </w:p>
    <w:p w14:paraId="5086FA18" w14:textId="24A509E8" w:rsidR="00302332" w:rsidRDefault="00302332" w:rsidP="56ADF488">
      <w:pPr>
        <w:spacing w:after="0" w:line="240" w:lineRule="auto"/>
        <w:rPr>
          <w:rFonts w:ascii="Arial" w:eastAsia="Arial" w:hAnsi="Arial" w:cs="Arial"/>
          <w:color w:val="000000" w:themeColor="text1"/>
        </w:rPr>
      </w:pPr>
    </w:p>
    <w:p w14:paraId="5C1A07E2" w14:textId="424786A4" w:rsidR="00302332" w:rsidRDefault="00302332" w:rsidP="56ADF488"/>
    <w:sectPr w:rsidR="0030233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453DD" w14:textId="77777777" w:rsidR="000A38FB" w:rsidRDefault="000A38FB" w:rsidP="00854362">
      <w:pPr>
        <w:spacing w:after="0" w:line="240" w:lineRule="auto"/>
      </w:pPr>
      <w:r>
        <w:separator/>
      </w:r>
    </w:p>
  </w:endnote>
  <w:endnote w:type="continuationSeparator" w:id="0">
    <w:p w14:paraId="6C9E3656" w14:textId="77777777" w:rsidR="000A38FB" w:rsidRDefault="000A38FB" w:rsidP="0085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5F996" w14:textId="77777777" w:rsidR="000A38FB" w:rsidRDefault="000A38FB" w:rsidP="00854362">
      <w:pPr>
        <w:spacing w:after="0" w:line="240" w:lineRule="auto"/>
      </w:pPr>
      <w:r>
        <w:separator/>
      </w:r>
    </w:p>
  </w:footnote>
  <w:footnote w:type="continuationSeparator" w:id="0">
    <w:p w14:paraId="4B707CBC" w14:textId="77777777" w:rsidR="000A38FB" w:rsidRDefault="000A38FB" w:rsidP="00854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267DA"/>
    <w:multiLevelType w:val="hybridMultilevel"/>
    <w:tmpl w:val="DB340336"/>
    <w:lvl w:ilvl="0" w:tplc="718EAECC">
      <w:start w:val="1"/>
      <w:numFmt w:val="bullet"/>
      <w:lvlText w:val=""/>
      <w:lvlJc w:val="left"/>
      <w:pPr>
        <w:ind w:left="720" w:hanging="360"/>
      </w:pPr>
      <w:rPr>
        <w:rFonts w:ascii="Symbol" w:hAnsi="Symbol" w:hint="default"/>
      </w:rPr>
    </w:lvl>
    <w:lvl w:ilvl="1" w:tplc="4A2CFE98">
      <w:start w:val="1"/>
      <w:numFmt w:val="bullet"/>
      <w:lvlText w:val="o"/>
      <w:lvlJc w:val="left"/>
      <w:pPr>
        <w:ind w:left="1440" w:hanging="360"/>
      </w:pPr>
      <w:rPr>
        <w:rFonts w:ascii="Courier New" w:hAnsi="Courier New" w:hint="default"/>
      </w:rPr>
    </w:lvl>
    <w:lvl w:ilvl="2" w:tplc="BF8A9722">
      <w:start w:val="1"/>
      <w:numFmt w:val="bullet"/>
      <w:lvlText w:val=""/>
      <w:lvlJc w:val="left"/>
      <w:pPr>
        <w:ind w:left="2160" w:hanging="360"/>
      </w:pPr>
      <w:rPr>
        <w:rFonts w:ascii="Wingdings" w:hAnsi="Wingdings" w:hint="default"/>
      </w:rPr>
    </w:lvl>
    <w:lvl w:ilvl="3" w:tplc="6BCE3662">
      <w:start w:val="1"/>
      <w:numFmt w:val="bullet"/>
      <w:lvlText w:val=""/>
      <w:lvlJc w:val="left"/>
      <w:pPr>
        <w:ind w:left="2880" w:hanging="360"/>
      </w:pPr>
      <w:rPr>
        <w:rFonts w:ascii="Symbol" w:hAnsi="Symbol" w:hint="default"/>
      </w:rPr>
    </w:lvl>
    <w:lvl w:ilvl="4" w:tplc="9FB2D716">
      <w:start w:val="1"/>
      <w:numFmt w:val="bullet"/>
      <w:lvlText w:val="o"/>
      <w:lvlJc w:val="left"/>
      <w:pPr>
        <w:ind w:left="3600" w:hanging="360"/>
      </w:pPr>
      <w:rPr>
        <w:rFonts w:ascii="Courier New" w:hAnsi="Courier New" w:hint="default"/>
      </w:rPr>
    </w:lvl>
    <w:lvl w:ilvl="5" w:tplc="F4529286">
      <w:start w:val="1"/>
      <w:numFmt w:val="bullet"/>
      <w:lvlText w:val=""/>
      <w:lvlJc w:val="left"/>
      <w:pPr>
        <w:ind w:left="4320" w:hanging="360"/>
      </w:pPr>
      <w:rPr>
        <w:rFonts w:ascii="Wingdings" w:hAnsi="Wingdings" w:hint="default"/>
      </w:rPr>
    </w:lvl>
    <w:lvl w:ilvl="6" w:tplc="A2681C94">
      <w:start w:val="1"/>
      <w:numFmt w:val="bullet"/>
      <w:lvlText w:val=""/>
      <w:lvlJc w:val="left"/>
      <w:pPr>
        <w:ind w:left="5040" w:hanging="360"/>
      </w:pPr>
      <w:rPr>
        <w:rFonts w:ascii="Symbol" w:hAnsi="Symbol" w:hint="default"/>
      </w:rPr>
    </w:lvl>
    <w:lvl w:ilvl="7" w:tplc="B2A29308">
      <w:start w:val="1"/>
      <w:numFmt w:val="bullet"/>
      <w:lvlText w:val="o"/>
      <w:lvlJc w:val="left"/>
      <w:pPr>
        <w:ind w:left="5760" w:hanging="360"/>
      </w:pPr>
      <w:rPr>
        <w:rFonts w:ascii="Courier New" w:hAnsi="Courier New" w:hint="default"/>
      </w:rPr>
    </w:lvl>
    <w:lvl w:ilvl="8" w:tplc="3016115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72EA55"/>
    <w:rsid w:val="000A38FB"/>
    <w:rsid w:val="000E6562"/>
    <w:rsid w:val="001D0DF4"/>
    <w:rsid w:val="00302332"/>
    <w:rsid w:val="0030442A"/>
    <w:rsid w:val="00563059"/>
    <w:rsid w:val="00586A1C"/>
    <w:rsid w:val="00854362"/>
    <w:rsid w:val="008668EC"/>
    <w:rsid w:val="009C7285"/>
    <w:rsid w:val="00BB1E3F"/>
    <w:rsid w:val="00BF574D"/>
    <w:rsid w:val="00C5098C"/>
    <w:rsid w:val="00CF0827"/>
    <w:rsid w:val="0116D7A3"/>
    <w:rsid w:val="035C5BA9"/>
    <w:rsid w:val="085DCAE2"/>
    <w:rsid w:val="0981DE01"/>
    <w:rsid w:val="0A0C28CE"/>
    <w:rsid w:val="0A215366"/>
    <w:rsid w:val="0BFE4025"/>
    <w:rsid w:val="0CD2F80C"/>
    <w:rsid w:val="0D0756A4"/>
    <w:rsid w:val="0D43C990"/>
    <w:rsid w:val="0EF83735"/>
    <w:rsid w:val="0F608955"/>
    <w:rsid w:val="10E4B287"/>
    <w:rsid w:val="11C14656"/>
    <w:rsid w:val="130A36F9"/>
    <w:rsid w:val="1310EA1C"/>
    <w:rsid w:val="1399E2B7"/>
    <w:rsid w:val="15163D5A"/>
    <w:rsid w:val="15C71FB9"/>
    <w:rsid w:val="15CF52CE"/>
    <w:rsid w:val="1672C4E1"/>
    <w:rsid w:val="16D134BF"/>
    <w:rsid w:val="175E8634"/>
    <w:rsid w:val="17C12DB7"/>
    <w:rsid w:val="186F9977"/>
    <w:rsid w:val="192FF26D"/>
    <w:rsid w:val="1972EA55"/>
    <w:rsid w:val="1ABCFFB9"/>
    <w:rsid w:val="1C31A501"/>
    <w:rsid w:val="1C9CFC02"/>
    <w:rsid w:val="1DE3350F"/>
    <w:rsid w:val="1F435681"/>
    <w:rsid w:val="1F82DBF4"/>
    <w:rsid w:val="20EBEDC7"/>
    <w:rsid w:val="2475A2BE"/>
    <w:rsid w:val="24D3897D"/>
    <w:rsid w:val="257B3580"/>
    <w:rsid w:val="258ECD71"/>
    <w:rsid w:val="25916549"/>
    <w:rsid w:val="25BF5EEA"/>
    <w:rsid w:val="25ED641E"/>
    <w:rsid w:val="267BCEEE"/>
    <w:rsid w:val="269D460F"/>
    <w:rsid w:val="286CE6F5"/>
    <w:rsid w:val="28BAFC16"/>
    <w:rsid w:val="28EB31BF"/>
    <w:rsid w:val="292504E0"/>
    <w:rsid w:val="294D5401"/>
    <w:rsid w:val="2B42CB01"/>
    <w:rsid w:val="2C6B5CDD"/>
    <w:rsid w:val="2C763D3E"/>
    <w:rsid w:val="2D57E11F"/>
    <w:rsid w:val="2EB66214"/>
    <w:rsid w:val="2F94B5A3"/>
    <w:rsid w:val="2FE67C1B"/>
    <w:rsid w:val="30B975C2"/>
    <w:rsid w:val="32E57EC2"/>
    <w:rsid w:val="3378E0A8"/>
    <w:rsid w:val="339AA1F0"/>
    <w:rsid w:val="33CD37C9"/>
    <w:rsid w:val="34A0C4E1"/>
    <w:rsid w:val="37302AC3"/>
    <w:rsid w:val="383E5E7B"/>
    <w:rsid w:val="39743604"/>
    <w:rsid w:val="399A28A2"/>
    <w:rsid w:val="3CB1C2A9"/>
    <w:rsid w:val="3EA90FCF"/>
    <w:rsid w:val="3F1D3EF9"/>
    <w:rsid w:val="440EDB3D"/>
    <w:rsid w:val="4591A7DD"/>
    <w:rsid w:val="45AAAB9E"/>
    <w:rsid w:val="475BF04E"/>
    <w:rsid w:val="4955D468"/>
    <w:rsid w:val="4957257C"/>
    <w:rsid w:val="4A68A2DF"/>
    <w:rsid w:val="4AC3AB28"/>
    <w:rsid w:val="4ACF4503"/>
    <w:rsid w:val="4B09A20E"/>
    <w:rsid w:val="4C732970"/>
    <w:rsid w:val="4D3AF67C"/>
    <w:rsid w:val="4F571516"/>
    <w:rsid w:val="50EADCE7"/>
    <w:rsid w:val="50FABB3B"/>
    <w:rsid w:val="5208D53A"/>
    <w:rsid w:val="52233E98"/>
    <w:rsid w:val="53F44E72"/>
    <w:rsid w:val="55C8BCEE"/>
    <w:rsid w:val="56ADF488"/>
    <w:rsid w:val="5740FB3C"/>
    <w:rsid w:val="5779DE1E"/>
    <w:rsid w:val="57D4D79E"/>
    <w:rsid w:val="58C7BF95"/>
    <w:rsid w:val="59104437"/>
    <w:rsid w:val="5AA50EF5"/>
    <w:rsid w:val="5D051C04"/>
    <w:rsid w:val="5D902760"/>
    <w:rsid w:val="5D9B30B8"/>
    <w:rsid w:val="5DF3FCCC"/>
    <w:rsid w:val="5FE4F153"/>
    <w:rsid w:val="6221A583"/>
    <w:rsid w:val="6255797E"/>
    <w:rsid w:val="6370B1B6"/>
    <w:rsid w:val="6433B2A2"/>
    <w:rsid w:val="64E29848"/>
    <w:rsid w:val="65A834B7"/>
    <w:rsid w:val="67C275CC"/>
    <w:rsid w:val="68C0E631"/>
    <w:rsid w:val="69A4FB5D"/>
    <w:rsid w:val="6A186B06"/>
    <w:rsid w:val="6A20DC19"/>
    <w:rsid w:val="6A8468A8"/>
    <w:rsid w:val="6C639567"/>
    <w:rsid w:val="6CB5D66D"/>
    <w:rsid w:val="7073D4A5"/>
    <w:rsid w:val="70C3251B"/>
    <w:rsid w:val="7100DF6A"/>
    <w:rsid w:val="7169318A"/>
    <w:rsid w:val="71ED63AC"/>
    <w:rsid w:val="73BDC82A"/>
    <w:rsid w:val="7505B1CC"/>
    <w:rsid w:val="76B676BB"/>
    <w:rsid w:val="77B8E5EC"/>
    <w:rsid w:val="79221E92"/>
    <w:rsid w:val="7AFC73CE"/>
    <w:rsid w:val="7D981C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2EA55"/>
  <w15:chartTrackingRefBased/>
  <w15:docId w15:val="{F0E22117-BD62-4DF2-A7CB-99ED8854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1D0D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2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llianz.es/descubre-allianz/actualidad/enlaces-de-inter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Status xmlns="9ff07a45-11f5-479e-a441-cd98a86709fe">Sequía</ContractStatus>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documentManagement>
</p:properties>
</file>

<file path=customXml/itemProps1.xml><?xml version="1.0" encoding="utf-8"?>
<ds:datastoreItem xmlns:ds="http://schemas.openxmlformats.org/officeDocument/2006/customXml" ds:itemID="{1983D8FE-2243-46FC-A603-687BD7A76BC9}">
  <ds:schemaRefs>
    <ds:schemaRef ds:uri="http://schemas.microsoft.com/sharepoint/v3/contenttype/forms"/>
  </ds:schemaRefs>
</ds:datastoreItem>
</file>

<file path=customXml/itemProps2.xml><?xml version="1.0" encoding="utf-8"?>
<ds:datastoreItem xmlns:ds="http://schemas.openxmlformats.org/officeDocument/2006/customXml" ds:itemID="{9FB05954-1C84-4721-9453-B37F47AA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5E86A-2E17-4267-BC23-9D76F81CF7E5}">
  <ds:schemaRefs>
    <ds:schemaRef ds:uri="http://schemas.microsoft.com/office/2006/metadata/properties"/>
    <ds:schemaRef ds:uri="http://schemas.microsoft.com/office/infopath/2007/PartnerControls"/>
    <ds:schemaRef ds:uri="9ff07a45-11f5-479e-a441-cd98a86709f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 A)</dc:creator>
  <cp:keywords/>
  <dc:description/>
  <cp:lastModifiedBy>Rodriguez Mosquera, Sonia</cp:lastModifiedBy>
  <cp:revision>3</cp:revision>
  <dcterms:created xsi:type="dcterms:W3CDTF">2022-01-20T09:06:00Z</dcterms:created>
  <dcterms:modified xsi:type="dcterms:W3CDTF">2022-01-20T09:36:00Z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2022-01-19T14:12:14Z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94573668-fc7b-4652-92d9-0e49ccc4a274</vt:lpwstr>
  </property>
  <property fmtid="{D5CDD505-2E9C-101B-9397-08002B2CF9AE}" pid="8" name="MSIP_Label_ce5f591a-3248-43e9-9b70-1ad50135772d_ContentBits">
    <vt:lpwstr>0</vt:lpwstr>
  </property>
  <property fmtid="{D5CDD505-2E9C-101B-9397-08002B2CF9AE}" pid="9" name="ContentTypeId">
    <vt:lpwstr>0x010100125D78925D459C4792E0AB097CA57A8700468EE264CD9B964F9956379036DA5620</vt:lpwstr>
  </property>
  <property fmtid="{D5CDD505-2E9C-101B-9397-08002B2CF9AE}" pid="10" name="Metadata">
    <vt:lpwstr>b7988hualzfd</vt:lpwstr>
  </property>
  <property fmtid="{D5CDD505-2E9C-101B-9397-08002B2CF9AE}" pid="11" name="OfficeDocumentSecurity_19012022174840">
    <vt:lpwstr>19012022174840;e006418;0</vt:lpwstr>
  </property>
  <property fmtid="{D5CDD505-2E9C-101B-9397-08002B2CF9AE}" pid="12" name="OfficeDocumentSecurity_19012022175916">
    <vt:lpwstr>19012022175916;e006418;0</vt:lpwstr>
  </property>
  <property fmtid="{D5CDD505-2E9C-101B-9397-08002B2CF9AE}" pid="13" name="OfficeDocumentSecurity_19012022180837">
    <vt:lpwstr>19012022180837;e006418;0</vt:lpwstr>
  </property>
  <property fmtid="{D5CDD505-2E9C-101B-9397-08002B2CF9AE}" pid="14" name="OfficeDocumentSecurity_19012022180916">
    <vt:lpwstr>19012022180916;e006418;0</vt:lpwstr>
  </property>
  <property fmtid="{D5CDD505-2E9C-101B-9397-08002B2CF9AE}" pid="15" name="OfficeDocumentSecurity_19012022181344">
    <vt:lpwstr>19012022181344;e006418;0</vt:lpwstr>
  </property>
  <property fmtid="{D5CDD505-2E9C-101B-9397-08002B2CF9AE}" pid="16" name="OfficeDocumentSecurity_19012022181753">
    <vt:lpwstr>19012022181753;e006418;0</vt:lpwstr>
  </property>
  <property fmtid="{D5CDD505-2E9C-101B-9397-08002B2CF9AE}" pid="17" name="OfficeDocumentSecurity_19012022181820">
    <vt:lpwstr>19012022181820;e006418;0</vt:lpwstr>
  </property>
  <property fmtid="{D5CDD505-2E9C-101B-9397-08002B2CF9AE}" pid="18" name="OfficeDocumentSecurity_19012022183713">
    <vt:lpwstr>19012022183713;e006418;0</vt:lpwstr>
  </property>
</Properties>
</file>